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980D" w14:textId="24356ECC" w:rsidR="006A3107" w:rsidRDefault="006A3107" w:rsidP="006A3107">
      <w:pPr>
        <w:tabs>
          <w:tab w:val="clear" w:pos="709"/>
        </w:tabs>
        <w:spacing w:line="320" w:lineRule="exact"/>
        <w:rPr>
          <w:rFonts w:ascii="Trebuchet MS" w:hAnsi="Trebuchet MS"/>
        </w:rPr>
      </w:pPr>
      <w:r>
        <w:rPr>
          <w:rFonts w:ascii="Trebuchet MS" w:hAnsi="Trebuchet MS"/>
        </w:rPr>
        <w:t>BE: SCHARFETTER</w:t>
      </w:r>
    </w:p>
    <w:p w14:paraId="27EA49E5" w14:textId="77777777" w:rsidR="006A3107" w:rsidRDefault="006A3107" w:rsidP="00FC70E0">
      <w:pPr>
        <w:tabs>
          <w:tab w:val="clear" w:pos="709"/>
        </w:tabs>
        <w:spacing w:line="320" w:lineRule="exact"/>
        <w:jc w:val="center"/>
        <w:rPr>
          <w:rFonts w:ascii="Trebuchet MS" w:hAnsi="Trebuchet MS"/>
        </w:rPr>
      </w:pPr>
    </w:p>
    <w:p w14:paraId="6051500A" w14:textId="4ACFFB58"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Nr</w:t>
      </w:r>
      <w:r w:rsidR="00FC70E0" w:rsidRPr="00FC70E0">
        <w:rPr>
          <w:rFonts w:ascii="Trebuchet MS" w:hAnsi="Trebuchet MS"/>
        </w:rPr>
        <w:t>.</w:t>
      </w:r>
      <w:r w:rsidRPr="00FC70E0">
        <w:rPr>
          <w:rFonts w:ascii="Trebuchet MS" w:hAnsi="Trebuchet MS"/>
        </w:rPr>
        <w:t xml:space="preserve">     der Beilagen zum stenographischen Protokoll des Salzburger Landtages</w:t>
      </w:r>
    </w:p>
    <w:p w14:paraId="2A7869B3" w14:textId="0BBB870C"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w:t>
      </w:r>
      <w:r w:rsidR="006A3107">
        <w:rPr>
          <w:rFonts w:ascii="Trebuchet MS" w:hAnsi="Trebuchet MS"/>
        </w:rPr>
        <w:t>4</w:t>
      </w:r>
      <w:r w:rsidRPr="00FC70E0">
        <w:rPr>
          <w:rFonts w:ascii="Trebuchet MS" w:hAnsi="Trebuchet MS"/>
        </w:rPr>
        <w:t xml:space="preserve">. Session der </w:t>
      </w:r>
      <w:r w:rsidR="00FC70E0" w:rsidRPr="00FC70E0">
        <w:rPr>
          <w:rFonts w:ascii="Trebuchet MS" w:hAnsi="Trebuchet MS"/>
        </w:rPr>
        <w:t>1</w:t>
      </w:r>
      <w:r w:rsidR="006A3107">
        <w:rPr>
          <w:rFonts w:ascii="Trebuchet MS" w:hAnsi="Trebuchet MS"/>
        </w:rPr>
        <w:t>7</w:t>
      </w:r>
      <w:r w:rsidRPr="00FC70E0">
        <w:rPr>
          <w:rFonts w:ascii="Trebuchet MS" w:hAnsi="Trebuchet MS"/>
        </w:rPr>
        <w:t>. Gesetzgebungsperiode)</w:t>
      </w:r>
    </w:p>
    <w:p w14:paraId="687BB83D" w14:textId="77777777" w:rsidR="00433121" w:rsidRPr="00FC70E0" w:rsidRDefault="00433121" w:rsidP="00FC70E0">
      <w:pPr>
        <w:tabs>
          <w:tab w:val="clear" w:pos="709"/>
        </w:tabs>
        <w:spacing w:line="320" w:lineRule="exact"/>
        <w:rPr>
          <w:rFonts w:ascii="Trebuchet MS" w:hAnsi="Trebuchet MS"/>
        </w:rPr>
      </w:pPr>
    </w:p>
    <w:p w14:paraId="6D57EF8C" w14:textId="77777777" w:rsidR="00433121" w:rsidRPr="00FC70E0" w:rsidRDefault="00433121" w:rsidP="00FC70E0">
      <w:pPr>
        <w:tabs>
          <w:tab w:val="clear" w:pos="709"/>
        </w:tabs>
        <w:spacing w:line="320" w:lineRule="exact"/>
        <w:jc w:val="center"/>
        <w:rPr>
          <w:rFonts w:ascii="Trebuchet MS" w:hAnsi="Trebuchet MS"/>
          <w:b/>
          <w:sz w:val="24"/>
          <w:szCs w:val="24"/>
        </w:rPr>
      </w:pPr>
      <w:bookmarkStart w:id="0" w:name="feingabetext"/>
      <w:bookmarkEnd w:id="0"/>
      <w:r w:rsidRPr="00FC70E0">
        <w:rPr>
          <w:rFonts w:ascii="Trebuchet MS" w:hAnsi="Trebuchet MS"/>
          <w:b/>
          <w:sz w:val="24"/>
          <w:szCs w:val="24"/>
        </w:rPr>
        <w:t>Antrag</w:t>
      </w:r>
    </w:p>
    <w:p w14:paraId="618DC392" w14:textId="77777777" w:rsidR="00433121" w:rsidRPr="00FC70E0" w:rsidRDefault="00433121" w:rsidP="00FC70E0">
      <w:pPr>
        <w:tabs>
          <w:tab w:val="clear" w:pos="709"/>
        </w:tabs>
        <w:spacing w:line="320" w:lineRule="exact"/>
        <w:rPr>
          <w:rFonts w:ascii="Trebuchet MS" w:hAnsi="Trebuchet MS"/>
        </w:rPr>
      </w:pPr>
    </w:p>
    <w:p w14:paraId="16949FAB" w14:textId="4E8BF08D" w:rsidR="00433121" w:rsidRPr="00FD4567" w:rsidRDefault="00FC70E0" w:rsidP="00FC70E0">
      <w:pPr>
        <w:tabs>
          <w:tab w:val="clear" w:pos="709"/>
        </w:tabs>
        <w:spacing w:line="320" w:lineRule="exact"/>
        <w:jc w:val="center"/>
        <w:rPr>
          <w:rFonts w:ascii="Trebuchet MS" w:hAnsi="Trebuchet MS"/>
          <w:lang w:val="de-AT"/>
        </w:rPr>
      </w:pPr>
      <w:r w:rsidRPr="00FC70E0">
        <w:rPr>
          <w:rFonts w:ascii="Trebuchet MS" w:hAnsi="Trebuchet MS"/>
        </w:rPr>
        <w:t xml:space="preserve">der </w:t>
      </w:r>
      <w:proofErr w:type="spellStart"/>
      <w:r w:rsidRPr="00FC70E0">
        <w:rPr>
          <w:rFonts w:ascii="Trebuchet MS" w:hAnsi="Trebuchet MS"/>
        </w:rPr>
        <w:t>Abg</w:t>
      </w:r>
      <w:proofErr w:type="spellEnd"/>
      <w:r w:rsidRPr="00FC70E0">
        <w:rPr>
          <w:rFonts w:ascii="Trebuchet MS" w:hAnsi="Trebuchet MS"/>
        </w:rPr>
        <w:t>.</w:t>
      </w:r>
      <w:r w:rsidR="006A3107">
        <w:rPr>
          <w:rFonts w:ascii="Trebuchet MS" w:hAnsi="Trebuchet MS"/>
        </w:rPr>
        <w:t xml:space="preserve"> Klubobmann Mag. Mayer, Mag. Scharfetter und Schernthaner MIM </w:t>
      </w:r>
      <w:r w:rsidRPr="00FC70E0">
        <w:rPr>
          <w:rFonts w:ascii="Trebuchet MS" w:hAnsi="Trebuchet MS"/>
        </w:rPr>
        <w:t xml:space="preserve">betreffend </w:t>
      </w:r>
      <w:r w:rsidR="00FD4567">
        <w:rPr>
          <w:rFonts w:ascii="Trebuchet MS" w:hAnsi="Trebuchet MS"/>
        </w:rPr>
        <w:t xml:space="preserve">ein Gesetz, </w:t>
      </w:r>
      <w:r w:rsidR="00FD4567" w:rsidRPr="00FD4567">
        <w:rPr>
          <w:rFonts w:ascii="Trebuchet MS" w:hAnsi="Trebuchet MS"/>
        </w:rPr>
        <w:t>mit dem das Salzburger VLT-Zuschlagsabgabegesetz geändert wird</w:t>
      </w:r>
    </w:p>
    <w:p w14:paraId="5EBE1E9D" w14:textId="77777777" w:rsidR="00FC70E0" w:rsidRPr="00FC70E0" w:rsidRDefault="00FC70E0" w:rsidP="00FC70E0">
      <w:pPr>
        <w:tabs>
          <w:tab w:val="clear" w:pos="709"/>
        </w:tabs>
        <w:spacing w:line="320" w:lineRule="exact"/>
        <w:jc w:val="center"/>
        <w:rPr>
          <w:rFonts w:ascii="Trebuchet MS" w:hAnsi="Trebuchet MS"/>
        </w:rPr>
      </w:pPr>
    </w:p>
    <w:p w14:paraId="5075F257" w14:textId="77777777" w:rsidR="006A3107" w:rsidRDefault="006A3107" w:rsidP="006A3107">
      <w:pPr>
        <w:tabs>
          <w:tab w:val="clear" w:pos="709"/>
        </w:tabs>
        <w:spacing w:line="320" w:lineRule="exact"/>
        <w:rPr>
          <w:rFonts w:ascii="Trebuchet MS" w:hAnsi="Trebuchet MS"/>
        </w:rPr>
      </w:pPr>
      <w:r w:rsidRPr="006A3107">
        <w:rPr>
          <w:rFonts w:ascii="Trebuchet MS" w:hAnsi="Trebuchet MS"/>
        </w:rPr>
        <w:t xml:space="preserve">Die VLT-Abgabe ist gemäß § 15 Abs 1 FAG 2024 eine Zuschlagsabgabe, die aus einer Stammabgabe des Bundes, an deren Ertrag ausschließlich der Bund, und aus Zuschlägen der Länder und/oder der Gemeinden, an deren Erträgnissen die Länder und/oder die Gemeinden beteiligt sind, bestehen (§ 6 Abs 1 Z 2 </w:t>
      </w:r>
      <w:proofErr w:type="spellStart"/>
      <w:r w:rsidRPr="006A3107">
        <w:rPr>
          <w:rFonts w:ascii="Trebuchet MS" w:hAnsi="Trebuchet MS"/>
        </w:rPr>
        <w:t>lit</w:t>
      </w:r>
      <w:proofErr w:type="spellEnd"/>
      <w:r w:rsidRPr="006A3107">
        <w:rPr>
          <w:rFonts w:ascii="Trebuchet MS" w:hAnsi="Trebuchet MS"/>
        </w:rPr>
        <w:t> b F-VG 1948). Die Gesetzgebungskompetenz ist bei Zuschlagsabgaben zwischen dem Bund und den Ländern geteilt: Gemäß § 7 Abs 1 F-VG 1948 regelt bei Zuschlagsabgaben die Bundesgesetzgebung die für den Bund erhobene Abgabe („Stammabgabe“), gemäß § 8 Abs 1 F-VG 1948 regelt die Landesgesetzgebung die den Ländern und/oder Gemeinden zufließenden Zuschläge zur Stammabgabe des Bundes.</w:t>
      </w:r>
    </w:p>
    <w:p w14:paraId="1C595F1C" w14:textId="77777777" w:rsidR="006A3107" w:rsidRDefault="006A3107" w:rsidP="006A3107">
      <w:pPr>
        <w:tabs>
          <w:tab w:val="clear" w:pos="709"/>
        </w:tabs>
        <w:spacing w:line="320" w:lineRule="exact"/>
        <w:rPr>
          <w:rFonts w:ascii="Trebuchet MS" w:hAnsi="Trebuchet MS"/>
        </w:rPr>
      </w:pPr>
    </w:p>
    <w:p w14:paraId="5E9D4D61" w14:textId="57DEE08D"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Die Gesetzgebungskompetenz des Landes beschränkt sich bei der Regelung eines Zuschlags zu einer Stammabgabe des Bundes im Wesentlichen auf die Entscheidung, den Zuschlag überhaupt einzuheben, auf die Bestimmung der Höhe des Zuschlags und auf die Teilung des Ertrags aus dem Zuschlag zwischen dem Land und den Gemeinden (</w:t>
      </w:r>
      <w:proofErr w:type="spellStart"/>
      <w:r w:rsidRPr="006A3107">
        <w:rPr>
          <w:rFonts w:ascii="Trebuchet MS" w:hAnsi="Trebuchet MS"/>
        </w:rPr>
        <w:t>vgl</w:t>
      </w:r>
      <w:proofErr w:type="spellEnd"/>
      <w:r w:rsidRPr="006A3107">
        <w:rPr>
          <w:rFonts w:ascii="Trebuchet MS" w:hAnsi="Trebuchet MS"/>
        </w:rPr>
        <w:t xml:space="preserve"> dazu </w:t>
      </w:r>
      <w:proofErr w:type="gramStart"/>
      <w:r w:rsidRPr="006A3107">
        <w:rPr>
          <w:rFonts w:ascii="Trebuchet MS" w:hAnsi="Trebuchet MS"/>
        </w:rPr>
        <w:t>das Erkenntnis</w:t>
      </w:r>
      <w:proofErr w:type="gramEnd"/>
      <w:r w:rsidRPr="006A3107">
        <w:rPr>
          <w:rFonts w:ascii="Trebuchet MS" w:hAnsi="Trebuchet MS"/>
        </w:rPr>
        <w:t xml:space="preserve"> des Verfassungsgerichtshofes vom 15. Oktober 2004, </w:t>
      </w:r>
      <w:proofErr w:type="spellStart"/>
      <w:r w:rsidRPr="006A3107">
        <w:rPr>
          <w:rFonts w:ascii="Trebuchet MS" w:hAnsi="Trebuchet MS"/>
        </w:rPr>
        <w:t>VfSlg</w:t>
      </w:r>
      <w:proofErr w:type="spellEnd"/>
      <w:r w:rsidRPr="006A3107">
        <w:rPr>
          <w:rFonts w:ascii="Trebuchet MS" w:hAnsi="Trebuchet MS"/>
        </w:rPr>
        <w:t xml:space="preserve"> 17.343).</w:t>
      </w:r>
    </w:p>
    <w:p w14:paraId="14023289" w14:textId="77777777" w:rsidR="006A3107" w:rsidRDefault="006A3107" w:rsidP="006A3107">
      <w:pPr>
        <w:tabs>
          <w:tab w:val="clear" w:pos="709"/>
        </w:tabs>
        <w:spacing w:line="320" w:lineRule="exact"/>
        <w:rPr>
          <w:rFonts w:ascii="Trebuchet MS" w:hAnsi="Trebuchet MS"/>
        </w:rPr>
      </w:pPr>
    </w:p>
    <w:p w14:paraId="53AE63DE" w14:textId="2BA27F81"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Die grundsätzliche Entscheidung, von der VLT-Abgabe des Bundes überhaupt Zuschläge einzuheben, hat der Salzburger Landesgesetzgeber bereits im Jahr 2011 durch das im LGBl unter der </w:t>
      </w:r>
      <w:proofErr w:type="spellStart"/>
      <w:r w:rsidRPr="006A3107">
        <w:rPr>
          <w:rFonts w:ascii="Trebuchet MS" w:hAnsi="Trebuchet MS"/>
        </w:rPr>
        <w:t>Nr</w:t>
      </w:r>
      <w:proofErr w:type="spellEnd"/>
      <w:r w:rsidRPr="006A3107">
        <w:rPr>
          <w:rFonts w:ascii="Trebuchet MS" w:hAnsi="Trebuchet MS"/>
        </w:rPr>
        <w:t xml:space="preserve"> 65/2011 kundgemachte Salzburger VLT-Zuschlagsabgabegesetz getroffen; gemäß dem seither unverändert geltenden § 1 VLT-Zuschlagsabgabegesetz erhebt das Land Salzburg „zur Video-Lotterie-Terminal-Abgabe gemäß § 57 Abs 4 des Glücksspielgesetzes, BGBl </w:t>
      </w:r>
      <w:proofErr w:type="spellStart"/>
      <w:r w:rsidRPr="006A3107">
        <w:rPr>
          <w:rFonts w:ascii="Trebuchet MS" w:hAnsi="Trebuchet MS"/>
        </w:rPr>
        <w:t>Nr</w:t>
      </w:r>
      <w:proofErr w:type="spellEnd"/>
      <w:r w:rsidRPr="006A3107">
        <w:rPr>
          <w:rFonts w:ascii="Trebuchet MS" w:hAnsi="Trebuchet MS"/>
        </w:rPr>
        <w:t xml:space="preserve"> 620/1989, in der Fassung des Gesetzes BGBl I </w:t>
      </w:r>
      <w:proofErr w:type="spellStart"/>
      <w:r w:rsidRPr="006A3107">
        <w:rPr>
          <w:rFonts w:ascii="Trebuchet MS" w:hAnsi="Trebuchet MS"/>
        </w:rPr>
        <w:t>Nr</w:t>
      </w:r>
      <w:proofErr w:type="spellEnd"/>
      <w:r w:rsidRPr="006A3107">
        <w:rPr>
          <w:rFonts w:ascii="Trebuchet MS" w:hAnsi="Trebuchet MS"/>
        </w:rPr>
        <w:t xml:space="preserve"> 73/2010, für Ausspielungen, an denen die Teilnahme vom Land Salzburg aus erfolgt, einen Zuschlag in der Höhe von 150 % der Stammabgabe des Bundes“.</w:t>
      </w:r>
    </w:p>
    <w:p w14:paraId="2DAD0FA4" w14:textId="77777777" w:rsidR="006A3107" w:rsidRDefault="006A3107" w:rsidP="006A3107">
      <w:pPr>
        <w:tabs>
          <w:tab w:val="clear" w:pos="709"/>
        </w:tabs>
        <w:spacing w:line="320" w:lineRule="exact"/>
        <w:rPr>
          <w:rFonts w:ascii="Trebuchet MS" w:hAnsi="Trebuchet MS"/>
        </w:rPr>
      </w:pPr>
    </w:p>
    <w:p w14:paraId="643A2F7C" w14:textId="103A752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Die Stammabgabe des Bundes und somit auch das Bezugsobjekt der Landeszuschläge ist im § 57 Abs 4 </w:t>
      </w:r>
      <w:proofErr w:type="spellStart"/>
      <w:r w:rsidRPr="006A3107">
        <w:rPr>
          <w:rFonts w:ascii="Trebuchet MS" w:hAnsi="Trebuchet MS"/>
        </w:rPr>
        <w:t>GSpG</w:t>
      </w:r>
      <w:proofErr w:type="spellEnd"/>
      <w:r w:rsidRPr="006A3107">
        <w:rPr>
          <w:rFonts w:ascii="Trebuchet MS" w:hAnsi="Trebuchet MS"/>
        </w:rPr>
        <w:t xml:space="preserve"> geregelt: Diese beträgt bis zum Ablauf des 31. Dezember </w:t>
      </w:r>
      <w:r w:rsidRPr="006A3107">
        <w:rPr>
          <w:rFonts w:ascii="Trebuchet MS" w:hAnsi="Trebuchet MS"/>
        </w:rPr>
        <w:lastRenderedPageBreak/>
        <w:t xml:space="preserve">2025 10 vH der um die gesetzliche Umsatzsteuer verminderten Jahresbruttospieleinnahmen. Mit Wirksamkeit ab dem 1. Jänner 2026 beträgt die Stammabgabe des Bundes 11 vH der um die gesetzliche Umsatzsteuer verminderten Jahresbruttospieleinnahmen (siehe dazu die §§ 57 Abs 4 und § 60 Abs 47 </w:t>
      </w:r>
      <w:proofErr w:type="spellStart"/>
      <w:r w:rsidRPr="006A3107">
        <w:rPr>
          <w:rFonts w:ascii="Trebuchet MS" w:hAnsi="Trebuchet MS"/>
        </w:rPr>
        <w:t>GSpG</w:t>
      </w:r>
      <w:proofErr w:type="spellEnd"/>
      <w:r w:rsidRPr="006A3107">
        <w:rPr>
          <w:rFonts w:ascii="Trebuchet MS" w:hAnsi="Trebuchet MS"/>
        </w:rPr>
        <w:t xml:space="preserve"> in der Fassung des Budgetbegleitgesetzes 2025, BGBl I </w:t>
      </w:r>
      <w:proofErr w:type="spellStart"/>
      <w:r w:rsidRPr="006A3107">
        <w:rPr>
          <w:rFonts w:ascii="Trebuchet MS" w:hAnsi="Trebuchet MS"/>
        </w:rPr>
        <w:t>Nr</w:t>
      </w:r>
      <w:proofErr w:type="spellEnd"/>
      <w:r w:rsidRPr="006A3107">
        <w:rPr>
          <w:rFonts w:ascii="Trebuchet MS" w:hAnsi="Trebuchet MS"/>
        </w:rPr>
        <w:t xml:space="preserve"> 25/2025).</w:t>
      </w:r>
    </w:p>
    <w:p w14:paraId="53E7D0AA" w14:textId="77777777" w:rsidR="001029DC" w:rsidRDefault="001029DC" w:rsidP="006A3107">
      <w:pPr>
        <w:tabs>
          <w:tab w:val="clear" w:pos="709"/>
        </w:tabs>
        <w:spacing w:line="320" w:lineRule="exact"/>
        <w:rPr>
          <w:rFonts w:ascii="Trebuchet MS" w:hAnsi="Trebuchet MS"/>
        </w:rPr>
      </w:pPr>
    </w:p>
    <w:p w14:paraId="273CA135" w14:textId="63BFE602"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Das Bundesministerium für Finanzen hat in seinem Rundschreiben vom 19. September 2025 (do </w:t>
      </w:r>
      <w:proofErr w:type="spellStart"/>
      <w:r w:rsidRPr="006A3107">
        <w:rPr>
          <w:rFonts w:ascii="Trebuchet MS" w:hAnsi="Trebuchet MS"/>
        </w:rPr>
        <w:t>Zl</w:t>
      </w:r>
      <w:proofErr w:type="spellEnd"/>
      <w:r w:rsidRPr="006A3107">
        <w:rPr>
          <w:rFonts w:ascii="Trebuchet MS" w:hAnsi="Trebuchet MS"/>
        </w:rPr>
        <w:t xml:space="preserve"> 2025-0.755.167) seine Rechtsansicht dahingehend mitgeteilt, dass „bundesgesetzliche Änderungen der Stammabgabe sich (...) automatisch auf den Zuschlag des Landes aus(wirken)“ und dass es „die geteilte Kompetenz zur Regelung von Stammabgabe und Zuschlag (...) mit sich (bringt), dass der landesgesetzliche Bezug auf die Stammabgabe immer eine dynamische Verweisung auf die bundesgesetzliche Regelung der Stammabgabe darstellt.“</w:t>
      </w:r>
    </w:p>
    <w:p w14:paraId="2095E60A" w14:textId="77777777" w:rsidR="006A3107" w:rsidRDefault="006A3107" w:rsidP="006A3107">
      <w:pPr>
        <w:tabs>
          <w:tab w:val="clear" w:pos="709"/>
        </w:tabs>
        <w:spacing w:line="320" w:lineRule="exact"/>
        <w:rPr>
          <w:rFonts w:ascii="Trebuchet MS" w:hAnsi="Trebuchet MS"/>
        </w:rPr>
      </w:pPr>
    </w:p>
    <w:p w14:paraId="5C013D14" w14:textId="5AFC6AB1"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Dennoch – so das Bundesministerium für Finanzen weiter – ist „die Regelung, auf welche Bundesabgabe ein Landeszuschlag erhoben wird, (...) mit einem statischen Verweis auf ein Bundesgesetz zu treffen“.</w:t>
      </w:r>
    </w:p>
    <w:p w14:paraId="276E5778" w14:textId="77777777" w:rsidR="006A3107" w:rsidRDefault="006A3107" w:rsidP="006A3107">
      <w:pPr>
        <w:tabs>
          <w:tab w:val="clear" w:pos="709"/>
        </w:tabs>
        <w:spacing w:line="320" w:lineRule="exact"/>
        <w:rPr>
          <w:rFonts w:ascii="Trebuchet MS" w:hAnsi="Trebuchet MS"/>
        </w:rPr>
      </w:pPr>
    </w:p>
    <w:p w14:paraId="36910567" w14:textId="780A3A21"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Ziel und Inhalt des Gesetzesvorschlags ist, die im VLT-Zuschlagsabgabegesetz enth</w:t>
      </w:r>
      <w:r w:rsidR="00E96BEB">
        <w:rPr>
          <w:rFonts w:ascii="Trebuchet MS" w:hAnsi="Trebuchet MS"/>
        </w:rPr>
        <w:t>a</w:t>
      </w:r>
      <w:r w:rsidRPr="006A3107">
        <w:rPr>
          <w:rFonts w:ascii="Trebuchet MS" w:hAnsi="Trebuchet MS"/>
        </w:rPr>
        <w:t xml:space="preserve">ltene Verweisung auf das Glücksspielgesetz zu aktualisieren, da der geltende § 1 VLT-Zuschlagsabgabegesetz statisch auf „§ 57 Abs 4 des Glücksspielgesetzes, BGBl </w:t>
      </w:r>
      <w:proofErr w:type="spellStart"/>
      <w:r w:rsidRPr="006A3107">
        <w:rPr>
          <w:rFonts w:ascii="Trebuchet MS" w:hAnsi="Trebuchet MS"/>
        </w:rPr>
        <w:t>Nr</w:t>
      </w:r>
      <w:proofErr w:type="spellEnd"/>
      <w:r w:rsidRPr="006A3107">
        <w:rPr>
          <w:rFonts w:ascii="Trebuchet MS" w:hAnsi="Trebuchet MS"/>
        </w:rPr>
        <w:t xml:space="preserve"> 620/1989, in der Fassung des Gesetzes BGBl I </w:t>
      </w:r>
      <w:proofErr w:type="spellStart"/>
      <w:r w:rsidRPr="006A3107">
        <w:rPr>
          <w:rFonts w:ascii="Trebuchet MS" w:hAnsi="Trebuchet MS"/>
        </w:rPr>
        <w:t>Nr</w:t>
      </w:r>
      <w:proofErr w:type="spellEnd"/>
      <w:r w:rsidRPr="006A3107">
        <w:rPr>
          <w:rFonts w:ascii="Trebuchet MS" w:hAnsi="Trebuchet MS"/>
        </w:rPr>
        <w:t xml:space="preserve"> 73/2010“ verweist. Diese (aktualisierte) Verweisung ist im neuen § 2a enthalten; im Übrigen wird § 1 des Gesetzes analog zu § 66 </w:t>
      </w:r>
      <w:proofErr w:type="spellStart"/>
      <w:r w:rsidRPr="006A3107">
        <w:rPr>
          <w:rFonts w:ascii="Trebuchet MS" w:hAnsi="Trebuchet MS"/>
        </w:rPr>
        <w:t>S.GSpAutG</w:t>
      </w:r>
      <w:proofErr w:type="spellEnd"/>
      <w:r w:rsidRPr="006A3107">
        <w:rPr>
          <w:rFonts w:ascii="Trebuchet MS" w:hAnsi="Trebuchet MS"/>
        </w:rPr>
        <w:t xml:space="preserve"> formuliert, ohne dass damit eine weitere Änderung der Rechtslage verbunden wäre.</w:t>
      </w:r>
    </w:p>
    <w:p w14:paraId="77934BEB" w14:textId="77777777" w:rsidR="006A3107" w:rsidRDefault="006A3107" w:rsidP="006A3107">
      <w:pPr>
        <w:tabs>
          <w:tab w:val="clear" w:pos="709"/>
        </w:tabs>
        <w:spacing w:line="320" w:lineRule="exact"/>
        <w:rPr>
          <w:rFonts w:ascii="Trebuchet MS" w:hAnsi="Trebuchet MS"/>
        </w:rPr>
      </w:pPr>
    </w:p>
    <w:p w14:paraId="748911CA" w14:textId="3B650850" w:rsidR="006A3107" w:rsidRDefault="006A3107" w:rsidP="006A3107">
      <w:pPr>
        <w:tabs>
          <w:tab w:val="clear" w:pos="709"/>
        </w:tabs>
        <w:spacing w:line="320" w:lineRule="exact"/>
        <w:rPr>
          <w:rFonts w:ascii="Trebuchet MS" w:hAnsi="Trebuchet MS"/>
        </w:rPr>
      </w:pPr>
      <w:r w:rsidRPr="006A3107">
        <w:rPr>
          <w:rFonts w:ascii="Trebuchet MS" w:hAnsi="Trebuchet MS"/>
        </w:rPr>
        <w:t xml:space="preserve">In Bezug auf die Höhe der Zuschlagsabgaben des Landes beschränkt § 15 Abs 2 FAG 2024 die Gesetzgebungskompetenz des Landesgesetzgebers insoweit, als das Ausmaß der Zuschläge 150 % zur Bundesautomaten- und VLT-Abgabe nicht übersteigen darf und durch den Landesgesetzgeber sowohl hinsichtlich der Höhe als auch allfälliger Anteile der Gemeinden für alle Steuertatbestände eines Landes einheitlich festzulegen ist. Daraus ergibt sich, dass die Festlegung unterschiedlicher Zuschläge zur Bundesautomatenabgabe einerseits und zur VLT-Abgabe andererseits unzulässig ist und dass sich die im § 1 des VLT-Zuschlagsabgabegesetzes festgelegte Höhe des Zuschlags an § 66 </w:t>
      </w:r>
      <w:proofErr w:type="spellStart"/>
      <w:r w:rsidRPr="006A3107">
        <w:rPr>
          <w:rFonts w:ascii="Trebuchet MS" w:hAnsi="Trebuchet MS"/>
        </w:rPr>
        <w:t>S.GSpAutG</w:t>
      </w:r>
      <w:proofErr w:type="spellEnd"/>
      <w:r w:rsidRPr="006A3107">
        <w:rPr>
          <w:rFonts w:ascii="Trebuchet MS" w:hAnsi="Trebuchet MS"/>
        </w:rPr>
        <w:t xml:space="preserve"> zu orientieren hat. Gleiches gilt für die Teilung des Aufkommens aus dem Landeszuschlag zwischen dem Land und den Gemeinden.</w:t>
      </w:r>
    </w:p>
    <w:p w14:paraId="10948515" w14:textId="77777777" w:rsidR="006A3107" w:rsidRDefault="006A3107" w:rsidP="006A3107">
      <w:pPr>
        <w:tabs>
          <w:tab w:val="clear" w:pos="709"/>
        </w:tabs>
        <w:spacing w:line="320" w:lineRule="exact"/>
        <w:rPr>
          <w:rFonts w:ascii="Trebuchet MS" w:hAnsi="Trebuchet MS"/>
        </w:rPr>
      </w:pPr>
    </w:p>
    <w:p w14:paraId="3079F81C" w14:textId="180E04CC" w:rsidR="006A3107" w:rsidRPr="006A3107" w:rsidRDefault="006A3107" w:rsidP="006A3107">
      <w:pPr>
        <w:tabs>
          <w:tab w:val="clear" w:pos="709"/>
        </w:tabs>
        <w:spacing w:line="320" w:lineRule="exact"/>
        <w:rPr>
          <w:rFonts w:ascii="Trebuchet MS" w:hAnsi="Trebuchet MS"/>
        </w:rPr>
      </w:pPr>
      <w:r>
        <w:rPr>
          <w:rFonts w:ascii="Trebuchet MS" w:hAnsi="Trebuchet MS"/>
        </w:rPr>
        <w:t>Weiters wird erläuternd festgehalten:</w:t>
      </w:r>
    </w:p>
    <w:p w14:paraId="39025621" w14:textId="77777777" w:rsidR="006A3107" w:rsidRDefault="006A3107" w:rsidP="006A3107">
      <w:pPr>
        <w:tabs>
          <w:tab w:val="clear" w:pos="709"/>
        </w:tabs>
        <w:spacing w:line="320" w:lineRule="exact"/>
        <w:rPr>
          <w:rFonts w:ascii="Trebuchet MS" w:hAnsi="Trebuchet MS"/>
        </w:rPr>
      </w:pPr>
    </w:p>
    <w:p w14:paraId="497C5643" w14:textId="02608B74" w:rsidR="006A3107" w:rsidRPr="0042701A" w:rsidRDefault="006A3107" w:rsidP="001029DC">
      <w:pPr>
        <w:pStyle w:val="Listenabsatz"/>
        <w:numPr>
          <w:ilvl w:val="0"/>
          <w:numId w:val="1"/>
        </w:numPr>
        <w:tabs>
          <w:tab w:val="clear" w:pos="709"/>
        </w:tabs>
        <w:spacing w:line="320" w:lineRule="exact"/>
        <w:rPr>
          <w:rFonts w:ascii="Trebuchet MS" w:hAnsi="Trebuchet MS"/>
          <w:b/>
          <w:bCs/>
        </w:rPr>
      </w:pPr>
      <w:r w:rsidRPr="0042701A">
        <w:rPr>
          <w:rFonts w:ascii="Trebuchet MS" w:hAnsi="Trebuchet MS"/>
          <w:b/>
          <w:bCs/>
        </w:rPr>
        <w:t>Übereinstimmung mit Unionsrecht:</w:t>
      </w:r>
    </w:p>
    <w:p w14:paraId="38A07824" w14:textId="000B4B43" w:rsidR="006A3107" w:rsidRDefault="006A3107" w:rsidP="006A3107">
      <w:pPr>
        <w:tabs>
          <w:tab w:val="clear" w:pos="709"/>
        </w:tabs>
        <w:spacing w:line="320" w:lineRule="exact"/>
        <w:rPr>
          <w:rFonts w:ascii="Trebuchet MS" w:hAnsi="Trebuchet MS"/>
        </w:rPr>
      </w:pPr>
      <w:r w:rsidRPr="006A3107">
        <w:rPr>
          <w:rFonts w:ascii="Trebuchet MS" w:hAnsi="Trebuchet MS"/>
        </w:rPr>
        <w:t>Das Vorhaben steht nicht im Widerspruch zu Unionsrecht.</w:t>
      </w:r>
    </w:p>
    <w:p w14:paraId="0117C7DA" w14:textId="2681AC44" w:rsidR="006A3107" w:rsidRPr="0042701A" w:rsidRDefault="006A3107" w:rsidP="0042701A">
      <w:pPr>
        <w:pStyle w:val="Listenabsatz"/>
        <w:numPr>
          <w:ilvl w:val="0"/>
          <w:numId w:val="1"/>
        </w:numPr>
        <w:tabs>
          <w:tab w:val="clear" w:pos="709"/>
        </w:tabs>
        <w:spacing w:line="320" w:lineRule="exact"/>
        <w:ind w:left="357" w:hanging="357"/>
        <w:rPr>
          <w:rFonts w:ascii="Trebuchet MS" w:hAnsi="Trebuchet MS"/>
          <w:b/>
          <w:bCs/>
        </w:rPr>
      </w:pPr>
      <w:r w:rsidRPr="0042701A">
        <w:rPr>
          <w:rFonts w:ascii="Trebuchet MS" w:hAnsi="Trebuchet MS"/>
          <w:b/>
          <w:bCs/>
        </w:rPr>
        <w:lastRenderedPageBreak/>
        <w:t>Verfassungsrechtliche Grundlagen, Besonderheiten des Normerzeugungsverfahrens:</w:t>
      </w:r>
    </w:p>
    <w:p w14:paraId="3B361BF8" w14:textId="77777777" w:rsidR="006A3107" w:rsidRDefault="006A3107" w:rsidP="006A3107">
      <w:pPr>
        <w:tabs>
          <w:tab w:val="clear" w:pos="709"/>
        </w:tabs>
        <w:spacing w:line="320" w:lineRule="exact"/>
        <w:rPr>
          <w:rFonts w:ascii="Trebuchet MS" w:hAnsi="Trebuchet MS"/>
        </w:rPr>
      </w:pPr>
    </w:p>
    <w:p w14:paraId="085AA5C7" w14:textId="2F63A9E3" w:rsidR="006A3107" w:rsidRPr="0042701A" w:rsidRDefault="006A3107" w:rsidP="001029DC">
      <w:pPr>
        <w:pStyle w:val="Listenabsatz"/>
        <w:numPr>
          <w:ilvl w:val="1"/>
          <w:numId w:val="1"/>
        </w:numPr>
        <w:tabs>
          <w:tab w:val="clear" w:pos="709"/>
        </w:tabs>
        <w:spacing w:line="320" w:lineRule="exact"/>
        <w:rPr>
          <w:rFonts w:ascii="Trebuchet MS" w:hAnsi="Trebuchet MS"/>
          <w:b/>
          <w:bCs/>
        </w:rPr>
      </w:pPr>
      <w:r w:rsidRPr="0042701A">
        <w:rPr>
          <w:rFonts w:ascii="Trebuchet MS" w:hAnsi="Trebuchet MS"/>
          <w:b/>
          <w:bCs/>
        </w:rPr>
        <w:t>Verfassungsrechtliche Grundlagen:</w:t>
      </w:r>
    </w:p>
    <w:p w14:paraId="189683E3" w14:textId="25DBCCB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8 Abs 1 F-VG 1948 nach Maßgabe des § 15 FAG 2024.</w:t>
      </w:r>
    </w:p>
    <w:p w14:paraId="57DA51E7" w14:textId="77777777" w:rsidR="001029DC" w:rsidRDefault="001029DC" w:rsidP="006A3107">
      <w:pPr>
        <w:tabs>
          <w:tab w:val="clear" w:pos="709"/>
        </w:tabs>
        <w:spacing w:line="320" w:lineRule="exact"/>
        <w:rPr>
          <w:rFonts w:ascii="Trebuchet MS" w:hAnsi="Trebuchet MS"/>
        </w:rPr>
      </w:pPr>
    </w:p>
    <w:p w14:paraId="614E4A1B" w14:textId="22452A3D" w:rsidR="006A3107" w:rsidRPr="0042701A" w:rsidRDefault="001029DC" w:rsidP="006A3107">
      <w:pPr>
        <w:tabs>
          <w:tab w:val="clear" w:pos="709"/>
        </w:tabs>
        <w:spacing w:line="320" w:lineRule="exact"/>
        <w:rPr>
          <w:rFonts w:ascii="Trebuchet MS" w:hAnsi="Trebuchet MS"/>
          <w:b/>
          <w:bCs/>
        </w:rPr>
      </w:pPr>
      <w:r w:rsidRPr="0042701A">
        <w:rPr>
          <w:rFonts w:ascii="Trebuchet MS" w:hAnsi="Trebuchet MS"/>
          <w:b/>
          <w:bCs/>
        </w:rPr>
        <w:t>2.</w:t>
      </w:r>
      <w:r w:rsidR="006A3107" w:rsidRPr="0042701A">
        <w:rPr>
          <w:rFonts w:ascii="Trebuchet MS" w:hAnsi="Trebuchet MS"/>
          <w:b/>
          <w:bCs/>
        </w:rPr>
        <w:t>2. Besonderheiten des Normerzeugungsverfahrens:</w:t>
      </w:r>
    </w:p>
    <w:p w14:paraId="137DDD91" w14:textId="24A4489A"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Die Bestimmungen bedürfen der Zustimmung der Bundesregierung gemäß § 9 F-VG 1948.</w:t>
      </w:r>
    </w:p>
    <w:p w14:paraId="04672A34" w14:textId="77777777" w:rsidR="006A3107" w:rsidRDefault="006A3107" w:rsidP="006A3107">
      <w:pPr>
        <w:tabs>
          <w:tab w:val="clear" w:pos="709"/>
        </w:tabs>
        <w:spacing w:line="320" w:lineRule="exact"/>
        <w:rPr>
          <w:rFonts w:ascii="Trebuchet MS" w:hAnsi="Trebuchet MS"/>
        </w:rPr>
      </w:pPr>
    </w:p>
    <w:p w14:paraId="7020C889" w14:textId="3A5E9360" w:rsidR="001029DC" w:rsidRPr="0042701A" w:rsidRDefault="006A3107" w:rsidP="001029DC">
      <w:pPr>
        <w:pStyle w:val="Listenabsatz"/>
        <w:numPr>
          <w:ilvl w:val="0"/>
          <w:numId w:val="1"/>
        </w:numPr>
        <w:tabs>
          <w:tab w:val="clear" w:pos="709"/>
        </w:tabs>
        <w:spacing w:line="320" w:lineRule="exact"/>
        <w:rPr>
          <w:rFonts w:ascii="Trebuchet MS" w:hAnsi="Trebuchet MS"/>
          <w:b/>
          <w:bCs/>
        </w:rPr>
      </w:pPr>
      <w:r w:rsidRPr="0042701A">
        <w:rPr>
          <w:rFonts w:ascii="Trebuchet MS" w:hAnsi="Trebuchet MS"/>
          <w:b/>
          <w:bCs/>
        </w:rPr>
        <w:t>Zu den finanziellen Auswirkungen:</w:t>
      </w:r>
    </w:p>
    <w:p w14:paraId="4FB27833" w14:textId="77777777" w:rsidR="001029DC" w:rsidRPr="001029DC" w:rsidRDefault="001029DC" w:rsidP="001029DC">
      <w:pPr>
        <w:pStyle w:val="Listenabsatz"/>
        <w:tabs>
          <w:tab w:val="clear" w:pos="709"/>
        </w:tabs>
        <w:spacing w:line="320" w:lineRule="exact"/>
        <w:ind w:left="360"/>
        <w:rPr>
          <w:rFonts w:ascii="Trebuchet MS" w:hAnsi="Trebuchet MS"/>
        </w:rPr>
      </w:pPr>
    </w:p>
    <w:p w14:paraId="3248694B" w14:textId="3A1091DC" w:rsidR="006A3107" w:rsidRPr="0042701A" w:rsidRDefault="006A3107" w:rsidP="001029DC">
      <w:pPr>
        <w:pStyle w:val="Listenabsatz"/>
        <w:numPr>
          <w:ilvl w:val="1"/>
          <w:numId w:val="1"/>
        </w:numPr>
        <w:tabs>
          <w:tab w:val="clear" w:pos="709"/>
        </w:tabs>
        <w:spacing w:line="320" w:lineRule="exact"/>
        <w:rPr>
          <w:rFonts w:ascii="Trebuchet MS" w:hAnsi="Trebuchet MS"/>
          <w:b/>
          <w:bCs/>
        </w:rPr>
      </w:pPr>
      <w:r w:rsidRPr="0042701A">
        <w:rPr>
          <w:rFonts w:ascii="Trebuchet MS" w:hAnsi="Trebuchet MS"/>
          <w:b/>
          <w:bCs/>
        </w:rPr>
        <w:t>Für den Bund:</w:t>
      </w:r>
    </w:p>
    <w:p w14:paraId="1EFC403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Auf den Haushalt des Bundes hat das geplante Vorhaben keine finanziellen Auswirkungen.</w:t>
      </w:r>
    </w:p>
    <w:p w14:paraId="113C493D" w14:textId="77777777" w:rsidR="006A3107" w:rsidRDefault="006A3107" w:rsidP="006A3107">
      <w:pPr>
        <w:tabs>
          <w:tab w:val="clear" w:pos="709"/>
        </w:tabs>
        <w:spacing w:line="320" w:lineRule="exact"/>
        <w:rPr>
          <w:rFonts w:ascii="Trebuchet MS" w:hAnsi="Trebuchet MS"/>
        </w:rPr>
      </w:pPr>
    </w:p>
    <w:p w14:paraId="4E38028D" w14:textId="207CE4E2" w:rsidR="006A3107" w:rsidRPr="0042701A" w:rsidRDefault="001029DC" w:rsidP="006A3107">
      <w:pPr>
        <w:tabs>
          <w:tab w:val="clear" w:pos="709"/>
        </w:tabs>
        <w:spacing w:line="320" w:lineRule="exact"/>
        <w:rPr>
          <w:rFonts w:ascii="Trebuchet MS" w:hAnsi="Trebuchet MS"/>
          <w:b/>
          <w:bCs/>
        </w:rPr>
      </w:pPr>
      <w:r w:rsidRPr="0042701A">
        <w:rPr>
          <w:rFonts w:ascii="Trebuchet MS" w:hAnsi="Trebuchet MS"/>
          <w:b/>
          <w:bCs/>
        </w:rPr>
        <w:t xml:space="preserve">3.2. </w:t>
      </w:r>
      <w:r w:rsidR="006A3107" w:rsidRPr="0042701A">
        <w:rPr>
          <w:rFonts w:ascii="Trebuchet MS" w:hAnsi="Trebuchet MS"/>
          <w:b/>
          <w:bCs/>
        </w:rPr>
        <w:t>Für das Land Salzburg und die Gemeinden:</w:t>
      </w:r>
    </w:p>
    <w:p w14:paraId="02B9BD7F" w14:textId="77777777" w:rsidR="001029DC" w:rsidRDefault="001029DC" w:rsidP="006A3107">
      <w:pPr>
        <w:tabs>
          <w:tab w:val="clear" w:pos="709"/>
        </w:tabs>
        <w:spacing w:line="320" w:lineRule="exact"/>
        <w:rPr>
          <w:rFonts w:ascii="Trebuchet MS" w:hAnsi="Trebuchet MS"/>
        </w:rPr>
      </w:pPr>
    </w:p>
    <w:p w14:paraId="55C6B822" w14:textId="447CCC63" w:rsidR="006A3107" w:rsidRPr="0042701A" w:rsidRDefault="001029DC" w:rsidP="006A3107">
      <w:pPr>
        <w:tabs>
          <w:tab w:val="clear" w:pos="709"/>
        </w:tabs>
        <w:spacing w:line="320" w:lineRule="exact"/>
        <w:rPr>
          <w:rFonts w:ascii="Trebuchet MS" w:hAnsi="Trebuchet MS"/>
          <w:b/>
          <w:bCs/>
        </w:rPr>
      </w:pPr>
      <w:r w:rsidRPr="0042701A">
        <w:rPr>
          <w:rFonts w:ascii="Trebuchet MS" w:hAnsi="Trebuchet MS"/>
          <w:b/>
          <w:bCs/>
        </w:rPr>
        <w:t>3.2.1</w:t>
      </w:r>
      <w:r w:rsidR="006A3107" w:rsidRPr="0042701A">
        <w:rPr>
          <w:rFonts w:ascii="Trebuchet MS" w:hAnsi="Trebuchet MS"/>
          <w:b/>
          <w:bCs/>
        </w:rPr>
        <w:t>. Vorbemerkung:</w:t>
      </w:r>
    </w:p>
    <w:p w14:paraId="4392D32F" w14:textId="2A0F8A02"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Wie bereits oben dargestellt, wirken sich „bundesgesetzliche Änderungen der Stammabgabe (...) automatisch auf den Zuschlag des Landes aus“ und bringt es „die geteilte Kompetenz zur Regelung von Stammabgabe und Zuschlag (...) mit sich, dass der landesgesetzliche Bezug auf die Stammabgabe immer eine dynamische Verweisung auf die bundesgesetzliche Regelung der Stammabgabe darstellt.“</w:t>
      </w:r>
    </w:p>
    <w:p w14:paraId="1A414D46" w14:textId="77777777" w:rsidR="000B427F" w:rsidRDefault="000B427F" w:rsidP="006A3107">
      <w:pPr>
        <w:tabs>
          <w:tab w:val="clear" w:pos="709"/>
        </w:tabs>
        <w:spacing w:line="320" w:lineRule="exact"/>
        <w:rPr>
          <w:rFonts w:ascii="Trebuchet MS" w:hAnsi="Trebuchet MS"/>
        </w:rPr>
      </w:pPr>
    </w:p>
    <w:p w14:paraId="72BC7BF3" w14:textId="6A1DF4B2"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Die zu erwartenden Mehreinnahmen des Landes ab dem 1. Jänner 2026 sind daher nicht durch die Anpassung der Verweisung auf das Glücksspielgesetz bedingt, sondern ergeben sich gleichsam automatisch als Reflex aus der Erhöhung der Stammabgabe des Bundes auf 11 vH der um die gesetzliche Umsatzsteuer verminderten Jahresbruttospieleinnahmen durch die §§ 57 Abs 4 und § 60 Abs 47 </w:t>
      </w:r>
      <w:proofErr w:type="spellStart"/>
      <w:r w:rsidRPr="006A3107">
        <w:rPr>
          <w:rFonts w:ascii="Trebuchet MS" w:hAnsi="Trebuchet MS"/>
        </w:rPr>
        <w:t>GSpG</w:t>
      </w:r>
      <w:proofErr w:type="spellEnd"/>
      <w:r w:rsidRPr="006A3107">
        <w:rPr>
          <w:rFonts w:ascii="Trebuchet MS" w:hAnsi="Trebuchet MS"/>
        </w:rPr>
        <w:t xml:space="preserve"> in der Fassung des Budgetbegleitgesetzes 2025, BGBl I </w:t>
      </w:r>
      <w:proofErr w:type="spellStart"/>
      <w:r w:rsidRPr="006A3107">
        <w:rPr>
          <w:rFonts w:ascii="Trebuchet MS" w:hAnsi="Trebuchet MS"/>
        </w:rPr>
        <w:t>Nr</w:t>
      </w:r>
      <w:proofErr w:type="spellEnd"/>
      <w:r w:rsidRPr="006A3107">
        <w:rPr>
          <w:rFonts w:ascii="Trebuchet MS" w:hAnsi="Trebuchet MS"/>
        </w:rPr>
        <w:t xml:space="preserve"> 25/2025. Dennoch werden diese hier kurz dargestellt:</w:t>
      </w:r>
    </w:p>
    <w:p w14:paraId="7355A680" w14:textId="77777777" w:rsidR="001029DC" w:rsidRDefault="001029DC" w:rsidP="006A3107">
      <w:pPr>
        <w:tabs>
          <w:tab w:val="clear" w:pos="709"/>
        </w:tabs>
        <w:spacing w:line="320" w:lineRule="exact"/>
        <w:rPr>
          <w:rFonts w:ascii="Trebuchet MS" w:hAnsi="Trebuchet MS"/>
        </w:rPr>
      </w:pPr>
    </w:p>
    <w:p w14:paraId="43EC1D3A" w14:textId="5ACA89DF" w:rsidR="006A3107" w:rsidRPr="006A3107" w:rsidRDefault="001029DC" w:rsidP="006A3107">
      <w:pPr>
        <w:tabs>
          <w:tab w:val="clear" w:pos="709"/>
        </w:tabs>
        <w:spacing w:line="320" w:lineRule="exact"/>
        <w:rPr>
          <w:rFonts w:ascii="Trebuchet MS" w:hAnsi="Trebuchet MS"/>
        </w:rPr>
      </w:pPr>
      <w:r w:rsidRPr="0042701A">
        <w:rPr>
          <w:rFonts w:ascii="Trebuchet MS" w:hAnsi="Trebuchet MS"/>
          <w:b/>
          <w:bCs/>
        </w:rPr>
        <w:t>3</w:t>
      </w:r>
      <w:r w:rsidR="006A3107" w:rsidRPr="0042701A">
        <w:rPr>
          <w:rFonts w:ascii="Trebuchet MS" w:hAnsi="Trebuchet MS"/>
          <w:b/>
          <w:bCs/>
        </w:rPr>
        <w:t>.</w:t>
      </w:r>
      <w:r w:rsidRPr="0042701A">
        <w:rPr>
          <w:rFonts w:ascii="Trebuchet MS" w:hAnsi="Trebuchet MS"/>
          <w:b/>
          <w:bCs/>
        </w:rPr>
        <w:t>2</w:t>
      </w:r>
      <w:r w:rsidR="006A3107" w:rsidRPr="0042701A">
        <w:rPr>
          <w:rFonts w:ascii="Trebuchet MS" w:hAnsi="Trebuchet MS"/>
          <w:b/>
          <w:bCs/>
        </w:rPr>
        <w:t>.</w:t>
      </w:r>
      <w:r w:rsidRPr="0042701A">
        <w:rPr>
          <w:rFonts w:ascii="Trebuchet MS" w:hAnsi="Trebuchet MS"/>
          <w:b/>
          <w:bCs/>
        </w:rPr>
        <w:t>2</w:t>
      </w:r>
      <w:r w:rsidR="006A3107" w:rsidRPr="0042701A">
        <w:rPr>
          <w:rFonts w:ascii="Trebuchet MS" w:hAnsi="Trebuchet MS"/>
          <w:b/>
          <w:bCs/>
        </w:rPr>
        <w:t>.</w:t>
      </w:r>
      <w:r w:rsidR="006A3107" w:rsidRPr="006A3107">
        <w:rPr>
          <w:rFonts w:ascii="Trebuchet MS" w:hAnsi="Trebuchet MS"/>
        </w:rPr>
        <w:t xml:space="preserve"> Die zentrale Größe für die Errechnung des zu erwartenden Mittelzuflusses an das Land und die Gemeinden sind die Jahresbruttospieleinnahmen (exkl. Umsatzsteuer) der Konzessionsinhaber. Da diese nicht bekannt sind, wird deren (voraussichtliche) Höhe aus den für die Jahre 2023 und 2024 bekannten Überweisungsbeträgen des Bundes – die Landeszuschläge werden vom Bund eingehoben und an die Länder überwiesen – wie folgt errechnet:</w:t>
      </w:r>
    </w:p>
    <w:p w14:paraId="6019638C" w14:textId="77777777" w:rsidR="001029DC" w:rsidRDefault="001029DC" w:rsidP="006A3107">
      <w:pPr>
        <w:tabs>
          <w:tab w:val="clear" w:pos="709"/>
        </w:tabs>
        <w:spacing w:line="320" w:lineRule="exact"/>
        <w:rPr>
          <w:rFonts w:ascii="Trebuchet MS" w:hAnsi="Trebuchet MS"/>
        </w:rPr>
      </w:pPr>
    </w:p>
    <w:p w14:paraId="542A0EF7" w14:textId="012A5A2A" w:rsidR="006A3107" w:rsidRPr="006A3107" w:rsidRDefault="001029DC" w:rsidP="006A3107">
      <w:pPr>
        <w:tabs>
          <w:tab w:val="clear" w:pos="709"/>
        </w:tabs>
        <w:spacing w:line="320" w:lineRule="exact"/>
        <w:rPr>
          <w:rFonts w:ascii="Trebuchet MS" w:hAnsi="Trebuchet MS"/>
        </w:rPr>
      </w:pPr>
      <w:r w:rsidRPr="0042701A">
        <w:rPr>
          <w:rFonts w:ascii="Trebuchet MS" w:hAnsi="Trebuchet MS"/>
          <w:b/>
          <w:bCs/>
        </w:rPr>
        <w:lastRenderedPageBreak/>
        <w:t>3</w:t>
      </w:r>
      <w:r w:rsidR="006A3107" w:rsidRPr="0042701A">
        <w:rPr>
          <w:rFonts w:ascii="Trebuchet MS" w:hAnsi="Trebuchet MS"/>
          <w:b/>
          <w:bCs/>
        </w:rPr>
        <w:t>.</w:t>
      </w:r>
      <w:r w:rsidRPr="0042701A">
        <w:rPr>
          <w:rFonts w:ascii="Trebuchet MS" w:hAnsi="Trebuchet MS"/>
          <w:b/>
          <w:bCs/>
        </w:rPr>
        <w:t>2</w:t>
      </w:r>
      <w:r w:rsidR="006A3107" w:rsidRPr="0042701A">
        <w:rPr>
          <w:rFonts w:ascii="Trebuchet MS" w:hAnsi="Trebuchet MS"/>
          <w:b/>
          <w:bCs/>
        </w:rPr>
        <w:t>.</w:t>
      </w:r>
      <w:r w:rsidRPr="0042701A">
        <w:rPr>
          <w:rFonts w:ascii="Trebuchet MS" w:hAnsi="Trebuchet MS"/>
          <w:b/>
          <w:bCs/>
        </w:rPr>
        <w:t>3</w:t>
      </w:r>
      <w:r w:rsidR="006A3107" w:rsidRPr="0042701A">
        <w:rPr>
          <w:rFonts w:ascii="Trebuchet MS" w:hAnsi="Trebuchet MS"/>
          <w:b/>
          <w:bCs/>
        </w:rPr>
        <w:t>.</w:t>
      </w:r>
      <w:r w:rsidR="006A3107" w:rsidRPr="006A3107">
        <w:rPr>
          <w:rFonts w:ascii="Trebuchet MS" w:hAnsi="Trebuchet MS"/>
        </w:rPr>
        <w:t xml:space="preserve"> Laut den Rechnungsabschlüssen für die Jahre 2023 und 2024 wurden vom Bund aus dem Titel der VLT-Zuschlagsabgabe die folgenden Beträge (vor Abgabenteilung mit den Gemeinden) überwiesen:</w:t>
      </w:r>
    </w:p>
    <w:p w14:paraId="6C8CEBD9" w14:textId="77777777" w:rsidR="006A3107" w:rsidRPr="006A3107" w:rsidRDefault="006A3107" w:rsidP="006A3107">
      <w:pPr>
        <w:tabs>
          <w:tab w:val="clear" w:pos="709"/>
        </w:tabs>
        <w:spacing w:line="320" w:lineRule="exact"/>
        <w:rPr>
          <w:rFonts w:ascii="Trebuchet MS" w:hAnsi="Trebuchet MS"/>
        </w:rPr>
      </w:pPr>
    </w:p>
    <w:tbl>
      <w:tblPr>
        <w:tblStyle w:val="Tabellenraster"/>
        <w:tblW w:w="0" w:type="auto"/>
        <w:tblInd w:w="108" w:type="dxa"/>
        <w:tblLook w:val="04A0" w:firstRow="1" w:lastRow="0" w:firstColumn="1" w:lastColumn="0" w:noHBand="0" w:noVBand="1"/>
      </w:tblPr>
      <w:tblGrid>
        <w:gridCol w:w="4141"/>
        <w:gridCol w:w="4245"/>
      </w:tblGrid>
      <w:tr w:rsidR="006A3107" w:rsidRPr="006A3107" w14:paraId="58DCA883" w14:textId="77777777" w:rsidTr="00B44E3A">
        <w:tc>
          <w:tcPr>
            <w:tcW w:w="4252" w:type="dxa"/>
          </w:tcPr>
          <w:p w14:paraId="7540E707"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Rechnungsabschluss 2023</w:t>
            </w:r>
          </w:p>
        </w:tc>
        <w:tc>
          <w:tcPr>
            <w:tcW w:w="4360" w:type="dxa"/>
          </w:tcPr>
          <w:p w14:paraId="55EBF9D8"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Rechnungsabschluss 2024</w:t>
            </w:r>
          </w:p>
        </w:tc>
      </w:tr>
      <w:tr w:rsidR="006A3107" w:rsidRPr="006A3107" w14:paraId="32EB492B" w14:textId="77777777" w:rsidTr="00B44E3A">
        <w:tc>
          <w:tcPr>
            <w:tcW w:w="4252" w:type="dxa"/>
          </w:tcPr>
          <w:p w14:paraId="243989A6"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679.296,22 €</w:t>
            </w:r>
          </w:p>
        </w:tc>
        <w:tc>
          <w:tcPr>
            <w:tcW w:w="4360" w:type="dxa"/>
          </w:tcPr>
          <w:p w14:paraId="4E6279E6"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688.639,82 €</w:t>
            </w:r>
          </w:p>
        </w:tc>
      </w:tr>
    </w:tbl>
    <w:p w14:paraId="0762BD95" w14:textId="77777777" w:rsidR="006A3107" w:rsidRPr="006A3107" w:rsidRDefault="006A3107" w:rsidP="006A3107">
      <w:pPr>
        <w:tabs>
          <w:tab w:val="clear" w:pos="709"/>
        </w:tabs>
        <w:spacing w:line="320" w:lineRule="exact"/>
        <w:rPr>
          <w:rFonts w:ascii="Trebuchet MS" w:hAnsi="Trebuchet MS"/>
        </w:rPr>
      </w:pPr>
    </w:p>
    <w:p w14:paraId="720FB120" w14:textId="635CAC8A" w:rsidR="006A3107" w:rsidRPr="006A3107" w:rsidRDefault="001029DC" w:rsidP="006A3107">
      <w:pPr>
        <w:tabs>
          <w:tab w:val="clear" w:pos="709"/>
        </w:tabs>
        <w:spacing w:line="320" w:lineRule="exact"/>
        <w:rPr>
          <w:rFonts w:ascii="Trebuchet MS" w:hAnsi="Trebuchet MS"/>
        </w:rPr>
      </w:pPr>
      <w:r w:rsidRPr="0042701A">
        <w:rPr>
          <w:rFonts w:ascii="Trebuchet MS" w:hAnsi="Trebuchet MS"/>
          <w:b/>
          <w:bCs/>
        </w:rPr>
        <w:t>3</w:t>
      </w:r>
      <w:r w:rsidR="006A3107" w:rsidRPr="0042701A">
        <w:rPr>
          <w:rFonts w:ascii="Trebuchet MS" w:hAnsi="Trebuchet MS"/>
          <w:b/>
          <w:bCs/>
        </w:rPr>
        <w:t>.</w:t>
      </w:r>
      <w:r w:rsidRPr="0042701A">
        <w:rPr>
          <w:rFonts w:ascii="Trebuchet MS" w:hAnsi="Trebuchet MS"/>
          <w:b/>
          <w:bCs/>
        </w:rPr>
        <w:t>2</w:t>
      </w:r>
      <w:r w:rsidR="006A3107" w:rsidRPr="0042701A">
        <w:rPr>
          <w:rFonts w:ascii="Trebuchet MS" w:hAnsi="Trebuchet MS"/>
          <w:b/>
          <w:bCs/>
        </w:rPr>
        <w:t>.</w:t>
      </w:r>
      <w:r w:rsidRPr="0042701A">
        <w:rPr>
          <w:rFonts w:ascii="Trebuchet MS" w:hAnsi="Trebuchet MS"/>
          <w:b/>
          <w:bCs/>
        </w:rPr>
        <w:t>4</w:t>
      </w:r>
      <w:r w:rsidR="006A3107" w:rsidRPr="0042701A">
        <w:rPr>
          <w:rFonts w:ascii="Trebuchet MS" w:hAnsi="Trebuchet MS"/>
          <w:b/>
          <w:bCs/>
        </w:rPr>
        <w:t>.</w:t>
      </w:r>
      <w:r w:rsidR="006A3107" w:rsidRPr="006A3107">
        <w:rPr>
          <w:rFonts w:ascii="Trebuchet MS" w:hAnsi="Trebuchet MS"/>
        </w:rPr>
        <w:t xml:space="preserve"> Aus diesen Überweisungsbeträgen lässt sich auf das Aufkommen der Stammabgabe des Bundes aus der VLT-Abgabe schließen, zumal sich aus dem die Höchstgrenze des § 57 Abs 4 </w:t>
      </w:r>
      <w:proofErr w:type="spellStart"/>
      <w:r w:rsidR="006A3107" w:rsidRPr="006A3107">
        <w:rPr>
          <w:rFonts w:ascii="Trebuchet MS" w:hAnsi="Trebuchet MS"/>
        </w:rPr>
        <w:t>GSpG</w:t>
      </w:r>
      <w:proofErr w:type="spellEnd"/>
      <w:r w:rsidR="006A3107" w:rsidRPr="006A3107">
        <w:rPr>
          <w:rFonts w:ascii="Trebuchet MS" w:hAnsi="Trebuchet MS"/>
        </w:rPr>
        <w:t xml:space="preserve"> ausschöpfenden § 1 VLT-Zuschlagsabgabegesetz ergibt, dass der Überweisungsbetrag eines Jahres das 1,5-fache der Stammabgabe des Bundes für dieses Jahr ausmacht.</w:t>
      </w:r>
    </w:p>
    <w:p w14:paraId="5F0B1B13" w14:textId="77777777" w:rsidR="006A3107" w:rsidRPr="006A3107" w:rsidRDefault="006A3107" w:rsidP="006A3107">
      <w:pPr>
        <w:tabs>
          <w:tab w:val="clear" w:pos="709"/>
        </w:tabs>
        <w:spacing w:line="320" w:lineRule="exact"/>
        <w:rPr>
          <w:rFonts w:ascii="Trebuchet MS" w:hAnsi="Trebuchet MS"/>
        </w:rPr>
      </w:pPr>
    </w:p>
    <w:tbl>
      <w:tblPr>
        <w:tblStyle w:val="Tabellenraster"/>
        <w:tblW w:w="8617" w:type="dxa"/>
        <w:tblInd w:w="108" w:type="dxa"/>
        <w:tblLook w:val="04A0" w:firstRow="1" w:lastRow="0" w:firstColumn="1" w:lastColumn="0" w:noHBand="0" w:noVBand="1"/>
      </w:tblPr>
      <w:tblGrid>
        <w:gridCol w:w="2233"/>
        <w:gridCol w:w="1573"/>
        <w:gridCol w:w="1573"/>
        <w:gridCol w:w="1669"/>
        <w:gridCol w:w="1569"/>
      </w:tblGrid>
      <w:tr w:rsidR="006A3107" w:rsidRPr="006A3107" w14:paraId="049EDC9E" w14:textId="77777777" w:rsidTr="00B44E3A">
        <w:tc>
          <w:tcPr>
            <w:tcW w:w="2233" w:type="dxa"/>
          </w:tcPr>
          <w:p w14:paraId="481A8AE2" w14:textId="77777777" w:rsidR="006A3107" w:rsidRPr="006A3107" w:rsidRDefault="006A3107" w:rsidP="006A3107">
            <w:pPr>
              <w:tabs>
                <w:tab w:val="clear" w:pos="709"/>
              </w:tabs>
              <w:spacing w:line="320" w:lineRule="exact"/>
              <w:rPr>
                <w:rFonts w:ascii="Trebuchet MS" w:hAnsi="Trebuchet MS"/>
              </w:rPr>
            </w:pPr>
          </w:p>
        </w:tc>
        <w:tc>
          <w:tcPr>
            <w:tcW w:w="1573" w:type="dxa"/>
            <w:vAlign w:val="center"/>
          </w:tcPr>
          <w:p w14:paraId="3D4ED7EB"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2023</w:t>
            </w:r>
          </w:p>
        </w:tc>
        <w:tc>
          <w:tcPr>
            <w:tcW w:w="1573" w:type="dxa"/>
            <w:vAlign w:val="center"/>
          </w:tcPr>
          <w:p w14:paraId="14BE27B8"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2024</w:t>
            </w:r>
          </w:p>
        </w:tc>
        <w:tc>
          <w:tcPr>
            <w:tcW w:w="1669" w:type="dxa"/>
            <w:vAlign w:val="center"/>
          </w:tcPr>
          <w:p w14:paraId="5E066D0C"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2025</w:t>
            </w:r>
          </w:p>
          <w:p w14:paraId="37924FD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(Prognose)</w:t>
            </w:r>
          </w:p>
        </w:tc>
        <w:tc>
          <w:tcPr>
            <w:tcW w:w="1569" w:type="dxa"/>
            <w:vAlign w:val="center"/>
          </w:tcPr>
          <w:p w14:paraId="030D7C7E"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2026</w:t>
            </w:r>
          </w:p>
          <w:p w14:paraId="376DA6A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(Prognose)</w:t>
            </w:r>
          </w:p>
        </w:tc>
      </w:tr>
      <w:tr w:rsidR="006A3107" w:rsidRPr="006A3107" w14:paraId="09BC0666" w14:textId="77777777" w:rsidTr="00B44E3A">
        <w:tc>
          <w:tcPr>
            <w:tcW w:w="2233" w:type="dxa"/>
          </w:tcPr>
          <w:p w14:paraId="5D824741"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Stammabgabe Bund</w:t>
            </w:r>
          </w:p>
        </w:tc>
        <w:tc>
          <w:tcPr>
            <w:tcW w:w="1573" w:type="dxa"/>
          </w:tcPr>
          <w:p w14:paraId="69F468BE"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452.864,14 €</w:t>
            </w:r>
          </w:p>
        </w:tc>
        <w:tc>
          <w:tcPr>
            <w:tcW w:w="1573" w:type="dxa"/>
          </w:tcPr>
          <w:p w14:paraId="606342F3"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459.093,21 €</w:t>
            </w:r>
          </w:p>
        </w:tc>
        <w:tc>
          <w:tcPr>
            <w:tcW w:w="1669" w:type="dxa"/>
          </w:tcPr>
          <w:p w14:paraId="5B0C3CC4"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465.407,96 €</w:t>
            </w:r>
          </w:p>
        </w:tc>
        <w:tc>
          <w:tcPr>
            <w:tcW w:w="1569" w:type="dxa"/>
          </w:tcPr>
          <w:p w14:paraId="7F8418E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471.809,57 €</w:t>
            </w:r>
          </w:p>
        </w:tc>
      </w:tr>
      <w:tr w:rsidR="006A3107" w:rsidRPr="006A3107" w14:paraId="51733FD6" w14:textId="77777777" w:rsidTr="00B44E3A">
        <w:tc>
          <w:tcPr>
            <w:tcW w:w="2233" w:type="dxa"/>
          </w:tcPr>
          <w:p w14:paraId="0D4E3E9D"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Steigerung </w:t>
            </w:r>
          </w:p>
        </w:tc>
        <w:tc>
          <w:tcPr>
            <w:tcW w:w="1573" w:type="dxa"/>
          </w:tcPr>
          <w:p w14:paraId="0DC4D26C" w14:textId="77777777" w:rsidR="006A3107" w:rsidRPr="006A3107" w:rsidRDefault="006A3107" w:rsidP="006A3107">
            <w:pPr>
              <w:tabs>
                <w:tab w:val="clear" w:pos="709"/>
              </w:tabs>
              <w:spacing w:line="320" w:lineRule="exact"/>
              <w:rPr>
                <w:rFonts w:ascii="Trebuchet MS" w:hAnsi="Trebuchet MS"/>
              </w:rPr>
            </w:pPr>
          </w:p>
        </w:tc>
        <w:tc>
          <w:tcPr>
            <w:tcW w:w="1573" w:type="dxa"/>
          </w:tcPr>
          <w:p w14:paraId="52C9345A"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1,38 %</w:t>
            </w:r>
          </w:p>
        </w:tc>
        <w:tc>
          <w:tcPr>
            <w:tcW w:w="1669" w:type="dxa"/>
          </w:tcPr>
          <w:p w14:paraId="0BEA469A"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1,38 %</w:t>
            </w:r>
          </w:p>
        </w:tc>
        <w:tc>
          <w:tcPr>
            <w:tcW w:w="1569" w:type="dxa"/>
          </w:tcPr>
          <w:p w14:paraId="35A3369F"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1,38 %</w:t>
            </w:r>
          </w:p>
        </w:tc>
      </w:tr>
    </w:tbl>
    <w:p w14:paraId="4D64D8EC" w14:textId="77777777" w:rsidR="006A3107" w:rsidRPr="006A3107" w:rsidRDefault="006A3107" w:rsidP="006A3107">
      <w:pPr>
        <w:tabs>
          <w:tab w:val="clear" w:pos="709"/>
        </w:tabs>
        <w:spacing w:line="320" w:lineRule="exact"/>
        <w:rPr>
          <w:rFonts w:ascii="Trebuchet MS" w:hAnsi="Trebuchet MS"/>
        </w:rPr>
      </w:pPr>
    </w:p>
    <w:p w14:paraId="42DCE3EB" w14:textId="1694872C" w:rsidR="006A3107" w:rsidRPr="006A3107" w:rsidRDefault="001029DC" w:rsidP="006A3107">
      <w:pPr>
        <w:tabs>
          <w:tab w:val="clear" w:pos="709"/>
        </w:tabs>
        <w:spacing w:line="320" w:lineRule="exact"/>
        <w:rPr>
          <w:rFonts w:ascii="Trebuchet MS" w:hAnsi="Trebuchet MS"/>
        </w:rPr>
      </w:pPr>
      <w:r w:rsidRPr="0042701A">
        <w:rPr>
          <w:rFonts w:ascii="Trebuchet MS" w:hAnsi="Trebuchet MS"/>
          <w:b/>
          <w:bCs/>
        </w:rPr>
        <w:t>3</w:t>
      </w:r>
      <w:r w:rsidR="006A3107" w:rsidRPr="0042701A">
        <w:rPr>
          <w:rFonts w:ascii="Trebuchet MS" w:hAnsi="Trebuchet MS"/>
          <w:b/>
          <w:bCs/>
        </w:rPr>
        <w:t>.</w:t>
      </w:r>
      <w:r w:rsidRPr="0042701A">
        <w:rPr>
          <w:rFonts w:ascii="Trebuchet MS" w:hAnsi="Trebuchet MS"/>
          <w:b/>
          <w:bCs/>
        </w:rPr>
        <w:t>2</w:t>
      </w:r>
      <w:r w:rsidR="006A3107" w:rsidRPr="0042701A">
        <w:rPr>
          <w:rFonts w:ascii="Trebuchet MS" w:hAnsi="Trebuchet MS"/>
          <w:b/>
          <w:bCs/>
        </w:rPr>
        <w:t>.</w:t>
      </w:r>
      <w:r w:rsidRPr="0042701A">
        <w:rPr>
          <w:rFonts w:ascii="Trebuchet MS" w:hAnsi="Trebuchet MS"/>
          <w:b/>
          <w:bCs/>
        </w:rPr>
        <w:t>5</w:t>
      </w:r>
      <w:r w:rsidR="006A3107" w:rsidRPr="0042701A">
        <w:rPr>
          <w:rFonts w:ascii="Trebuchet MS" w:hAnsi="Trebuchet MS"/>
          <w:b/>
          <w:bCs/>
        </w:rPr>
        <w:t>.</w:t>
      </w:r>
      <w:r w:rsidR="006A3107" w:rsidRPr="006A3107">
        <w:rPr>
          <w:rFonts w:ascii="Trebuchet MS" w:hAnsi="Trebuchet MS"/>
        </w:rPr>
        <w:t xml:space="preserve"> Die Stammabgabe des Bundes betrug für die Jahre 2023 und 2024 10 vH der um die gesetzliche Umsatzsteuer verminderten Jahresbruttospieleinnahmen der Konzessionsinhaber. Daraus ergeben sich für die Jahre 2023 und 2024 die folgenden Jahresbruttospieleinnahmen (abzüglich gesetzlicher Umsatzsteuer) der Konzessionsinhaber:</w:t>
      </w:r>
    </w:p>
    <w:p w14:paraId="029ED5C7" w14:textId="77777777" w:rsidR="006A3107" w:rsidRPr="006A3107" w:rsidRDefault="006A3107" w:rsidP="006A3107">
      <w:pPr>
        <w:tabs>
          <w:tab w:val="clear" w:pos="709"/>
        </w:tabs>
        <w:spacing w:line="320" w:lineRule="exact"/>
        <w:rPr>
          <w:rFonts w:ascii="Trebuchet MS" w:hAnsi="Trebuchet MS"/>
        </w:rPr>
      </w:pPr>
    </w:p>
    <w:tbl>
      <w:tblPr>
        <w:tblStyle w:val="Tabellenraster"/>
        <w:tblW w:w="8617" w:type="dxa"/>
        <w:tblInd w:w="108" w:type="dxa"/>
        <w:tblLook w:val="04A0" w:firstRow="1" w:lastRow="0" w:firstColumn="1" w:lastColumn="0" w:noHBand="0" w:noVBand="1"/>
      </w:tblPr>
      <w:tblGrid>
        <w:gridCol w:w="1872"/>
        <w:gridCol w:w="1701"/>
        <w:gridCol w:w="1701"/>
        <w:gridCol w:w="1701"/>
        <w:gridCol w:w="1642"/>
      </w:tblGrid>
      <w:tr w:rsidR="006A3107" w:rsidRPr="006A3107" w14:paraId="6ADBAC13" w14:textId="77777777" w:rsidTr="00F7257E">
        <w:tc>
          <w:tcPr>
            <w:tcW w:w="1872" w:type="dxa"/>
          </w:tcPr>
          <w:p w14:paraId="227BE87F" w14:textId="77777777" w:rsidR="006A3107" w:rsidRPr="006A3107" w:rsidRDefault="006A3107" w:rsidP="006A3107">
            <w:pPr>
              <w:tabs>
                <w:tab w:val="clear" w:pos="709"/>
              </w:tabs>
              <w:spacing w:line="320" w:lineRule="exact"/>
              <w:rPr>
                <w:rFonts w:ascii="Trebuchet MS" w:hAnsi="Trebuchet MS"/>
              </w:rPr>
            </w:pPr>
          </w:p>
        </w:tc>
        <w:tc>
          <w:tcPr>
            <w:tcW w:w="1701" w:type="dxa"/>
            <w:vAlign w:val="center"/>
          </w:tcPr>
          <w:p w14:paraId="0693024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2023</w:t>
            </w:r>
          </w:p>
        </w:tc>
        <w:tc>
          <w:tcPr>
            <w:tcW w:w="1701" w:type="dxa"/>
            <w:vAlign w:val="center"/>
          </w:tcPr>
          <w:p w14:paraId="50CAC90A"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2024</w:t>
            </w:r>
          </w:p>
        </w:tc>
        <w:tc>
          <w:tcPr>
            <w:tcW w:w="1701" w:type="dxa"/>
            <w:vAlign w:val="center"/>
          </w:tcPr>
          <w:p w14:paraId="0E8F5269"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2025</w:t>
            </w:r>
          </w:p>
          <w:p w14:paraId="2B594E74"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(Prognose)</w:t>
            </w:r>
          </w:p>
        </w:tc>
        <w:tc>
          <w:tcPr>
            <w:tcW w:w="1642" w:type="dxa"/>
            <w:vAlign w:val="center"/>
          </w:tcPr>
          <w:p w14:paraId="1C23767C"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2026</w:t>
            </w:r>
          </w:p>
          <w:p w14:paraId="17852B52"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(Prognose)</w:t>
            </w:r>
          </w:p>
        </w:tc>
      </w:tr>
      <w:tr w:rsidR="006A3107" w:rsidRPr="006A3107" w14:paraId="624BC2D8" w14:textId="77777777" w:rsidTr="00F7257E">
        <w:tc>
          <w:tcPr>
            <w:tcW w:w="1872" w:type="dxa"/>
          </w:tcPr>
          <w:p w14:paraId="08653317"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Jahresbruttospieleinnahmen (exkl. </w:t>
            </w:r>
            <w:proofErr w:type="spellStart"/>
            <w:r w:rsidRPr="006A3107">
              <w:rPr>
                <w:rFonts w:ascii="Trebuchet MS" w:hAnsi="Trebuchet MS"/>
              </w:rPr>
              <w:t>USt</w:t>
            </w:r>
            <w:proofErr w:type="spellEnd"/>
            <w:r w:rsidRPr="006A3107">
              <w:rPr>
                <w:rFonts w:ascii="Trebuchet MS" w:hAnsi="Trebuchet MS"/>
              </w:rPr>
              <w:t>)</w:t>
            </w:r>
          </w:p>
        </w:tc>
        <w:tc>
          <w:tcPr>
            <w:tcW w:w="1701" w:type="dxa"/>
            <w:vAlign w:val="center"/>
          </w:tcPr>
          <w:p w14:paraId="2D65B94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4.528.641,4 €</w:t>
            </w:r>
          </w:p>
        </w:tc>
        <w:tc>
          <w:tcPr>
            <w:tcW w:w="1701" w:type="dxa"/>
            <w:vAlign w:val="center"/>
          </w:tcPr>
          <w:p w14:paraId="3281639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4.590.932,1 €</w:t>
            </w:r>
          </w:p>
        </w:tc>
        <w:tc>
          <w:tcPr>
            <w:tcW w:w="1701" w:type="dxa"/>
            <w:vAlign w:val="center"/>
          </w:tcPr>
          <w:p w14:paraId="28D62AF7"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4.654.079,6 €</w:t>
            </w:r>
          </w:p>
        </w:tc>
        <w:tc>
          <w:tcPr>
            <w:tcW w:w="1642" w:type="dxa"/>
            <w:vAlign w:val="center"/>
          </w:tcPr>
          <w:p w14:paraId="3B3B056C"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4.718.095,7 €</w:t>
            </w:r>
          </w:p>
        </w:tc>
      </w:tr>
      <w:tr w:rsidR="006A3107" w:rsidRPr="006A3107" w14:paraId="4B291438" w14:textId="77777777" w:rsidTr="00F7257E">
        <w:tc>
          <w:tcPr>
            <w:tcW w:w="1872" w:type="dxa"/>
          </w:tcPr>
          <w:p w14:paraId="0F7EC4AB"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Steigerung </w:t>
            </w:r>
          </w:p>
        </w:tc>
        <w:tc>
          <w:tcPr>
            <w:tcW w:w="1701" w:type="dxa"/>
          </w:tcPr>
          <w:p w14:paraId="0D4B92B1" w14:textId="77777777" w:rsidR="006A3107" w:rsidRPr="006A3107" w:rsidRDefault="006A3107" w:rsidP="006A3107">
            <w:pPr>
              <w:tabs>
                <w:tab w:val="clear" w:pos="709"/>
              </w:tabs>
              <w:spacing w:line="320" w:lineRule="exact"/>
              <w:rPr>
                <w:rFonts w:ascii="Trebuchet MS" w:hAnsi="Trebuchet MS"/>
              </w:rPr>
            </w:pPr>
          </w:p>
        </w:tc>
        <w:tc>
          <w:tcPr>
            <w:tcW w:w="1701" w:type="dxa"/>
          </w:tcPr>
          <w:p w14:paraId="2747371E"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1,38 %</w:t>
            </w:r>
          </w:p>
        </w:tc>
        <w:tc>
          <w:tcPr>
            <w:tcW w:w="1701" w:type="dxa"/>
          </w:tcPr>
          <w:p w14:paraId="721A30D1"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1,38 %</w:t>
            </w:r>
          </w:p>
        </w:tc>
        <w:tc>
          <w:tcPr>
            <w:tcW w:w="1642" w:type="dxa"/>
          </w:tcPr>
          <w:p w14:paraId="71CFC798"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1,38 %</w:t>
            </w:r>
          </w:p>
        </w:tc>
      </w:tr>
    </w:tbl>
    <w:p w14:paraId="01F987E2" w14:textId="77777777" w:rsidR="006A3107" w:rsidRPr="006A3107" w:rsidRDefault="006A3107" w:rsidP="006A3107">
      <w:pPr>
        <w:tabs>
          <w:tab w:val="clear" w:pos="709"/>
        </w:tabs>
        <w:spacing w:line="320" w:lineRule="exact"/>
        <w:rPr>
          <w:rFonts w:ascii="Trebuchet MS" w:hAnsi="Trebuchet MS"/>
        </w:rPr>
      </w:pPr>
    </w:p>
    <w:p w14:paraId="5CDE8CEA"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Den Prognosen für die Jahre 2025 und 2026 wurde in Fortschreibung des Wachstums der Jahresbruttospieleinnahmen (exkl. </w:t>
      </w:r>
      <w:proofErr w:type="spellStart"/>
      <w:r w:rsidRPr="006A3107">
        <w:rPr>
          <w:rFonts w:ascii="Trebuchet MS" w:hAnsi="Trebuchet MS"/>
        </w:rPr>
        <w:t>USt</w:t>
      </w:r>
      <w:proofErr w:type="spellEnd"/>
      <w:r w:rsidRPr="006A3107">
        <w:rPr>
          <w:rFonts w:ascii="Trebuchet MS" w:hAnsi="Trebuchet MS"/>
        </w:rPr>
        <w:t>) und der Stammabgabe des Bundes von 2023 auf 2024 um 1,38 % ein weiteres jährliches lineares Wachstum von eben diesen 1,38 % zu Grunde gelegt.</w:t>
      </w:r>
    </w:p>
    <w:p w14:paraId="60D0E678" w14:textId="77777777" w:rsidR="006A3107" w:rsidRPr="006A3107" w:rsidRDefault="006A3107" w:rsidP="006A3107">
      <w:pPr>
        <w:tabs>
          <w:tab w:val="clear" w:pos="709"/>
        </w:tabs>
        <w:spacing w:line="320" w:lineRule="exact"/>
        <w:rPr>
          <w:rFonts w:ascii="Trebuchet MS" w:hAnsi="Trebuchet MS"/>
        </w:rPr>
      </w:pPr>
    </w:p>
    <w:p w14:paraId="60FAE868" w14:textId="1F6FE3C3" w:rsidR="006A3107" w:rsidRDefault="001029DC" w:rsidP="006A3107">
      <w:pPr>
        <w:tabs>
          <w:tab w:val="clear" w:pos="709"/>
        </w:tabs>
        <w:spacing w:line="320" w:lineRule="exact"/>
        <w:rPr>
          <w:rFonts w:ascii="Trebuchet MS" w:hAnsi="Trebuchet MS"/>
        </w:rPr>
      </w:pPr>
      <w:r w:rsidRPr="0042701A">
        <w:rPr>
          <w:rFonts w:ascii="Trebuchet MS" w:hAnsi="Trebuchet MS"/>
          <w:b/>
          <w:bCs/>
        </w:rPr>
        <w:t>3</w:t>
      </w:r>
      <w:r w:rsidR="006A3107" w:rsidRPr="0042701A">
        <w:rPr>
          <w:rFonts w:ascii="Trebuchet MS" w:hAnsi="Trebuchet MS"/>
          <w:b/>
          <w:bCs/>
        </w:rPr>
        <w:t>.</w:t>
      </w:r>
      <w:r w:rsidRPr="0042701A">
        <w:rPr>
          <w:rFonts w:ascii="Trebuchet MS" w:hAnsi="Trebuchet MS"/>
          <w:b/>
          <w:bCs/>
        </w:rPr>
        <w:t>2</w:t>
      </w:r>
      <w:r w:rsidR="006A3107" w:rsidRPr="0042701A">
        <w:rPr>
          <w:rFonts w:ascii="Trebuchet MS" w:hAnsi="Trebuchet MS"/>
          <w:b/>
          <w:bCs/>
        </w:rPr>
        <w:t>.</w:t>
      </w:r>
      <w:r w:rsidRPr="0042701A">
        <w:rPr>
          <w:rFonts w:ascii="Trebuchet MS" w:hAnsi="Trebuchet MS"/>
          <w:b/>
          <w:bCs/>
        </w:rPr>
        <w:t>6</w:t>
      </w:r>
      <w:r w:rsidR="006A3107" w:rsidRPr="0042701A">
        <w:rPr>
          <w:rFonts w:ascii="Trebuchet MS" w:hAnsi="Trebuchet MS"/>
          <w:b/>
          <w:bCs/>
        </w:rPr>
        <w:t>.</w:t>
      </w:r>
      <w:r w:rsidR="006A3107" w:rsidRPr="006A3107">
        <w:rPr>
          <w:rFonts w:ascii="Trebuchet MS" w:hAnsi="Trebuchet MS"/>
        </w:rPr>
        <w:t xml:space="preserve"> Valide Zahlen für das Jahr 2025 liegen zum Zeitpunkt der Abfassung dieser Darstellung noch nicht vor, weshalb auf der Basis der für das Jahr 2025 prognostizierten Jahresbruttospieleinnahmen (exkl. </w:t>
      </w:r>
      <w:proofErr w:type="spellStart"/>
      <w:r w:rsidR="006A3107" w:rsidRPr="006A3107">
        <w:rPr>
          <w:rFonts w:ascii="Trebuchet MS" w:hAnsi="Trebuchet MS"/>
        </w:rPr>
        <w:t>Ust</w:t>
      </w:r>
      <w:proofErr w:type="spellEnd"/>
      <w:r w:rsidR="006A3107" w:rsidRPr="006A3107">
        <w:rPr>
          <w:rFonts w:ascii="Trebuchet MS" w:hAnsi="Trebuchet MS"/>
        </w:rPr>
        <w:t xml:space="preserve">) von folgenden Grundlagen (Stammabgabe Bund = 10 % der Jahresbruttospieleinnahmen exkl. </w:t>
      </w:r>
      <w:proofErr w:type="spellStart"/>
      <w:r w:rsidR="006A3107" w:rsidRPr="006A3107">
        <w:rPr>
          <w:rFonts w:ascii="Trebuchet MS" w:hAnsi="Trebuchet MS"/>
        </w:rPr>
        <w:t>Ust</w:t>
      </w:r>
      <w:proofErr w:type="spellEnd"/>
      <w:r w:rsidR="006A3107" w:rsidRPr="006A3107">
        <w:rPr>
          <w:rFonts w:ascii="Trebuchet MS" w:hAnsi="Trebuchet MS"/>
        </w:rPr>
        <w:t xml:space="preserve">; Zuschlagsabgabe = 150 % der </w:t>
      </w:r>
      <w:r w:rsidR="006A3107" w:rsidRPr="006A3107">
        <w:rPr>
          <w:rFonts w:ascii="Trebuchet MS" w:hAnsi="Trebuchet MS"/>
        </w:rPr>
        <w:lastRenderedPageBreak/>
        <w:t xml:space="preserve">Stammabgabe; Aufteilungsschlüssel </w:t>
      </w:r>
      <w:proofErr w:type="gramStart"/>
      <w:r w:rsidR="006A3107" w:rsidRPr="006A3107">
        <w:rPr>
          <w:rFonts w:ascii="Trebuchet MS" w:hAnsi="Trebuchet MS"/>
        </w:rPr>
        <w:t>Land :</w:t>
      </w:r>
      <w:proofErr w:type="gramEnd"/>
      <w:r w:rsidR="006A3107" w:rsidRPr="006A3107">
        <w:rPr>
          <w:rFonts w:ascii="Trebuchet MS" w:hAnsi="Trebuchet MS"/>
        </w:rPr>
        <w:t xml:space="preserve"> Gemeinden = 40 : 60 gemäß § 2 Abs 1 VLT-Zuschlagsabgabegesetz) und Beträgen ausgegangen wird:</w:t>
      </w:r>
    </w:p>
    <w:p w14:paraId="1058C2B6" w14:textId="77777777" w:rsidR="00F7257E" w:rsidRPr="006A3107" w:rsidRDefault="00F7257E" w:rsidP="006A3107">
      <w:pPr>
        <w:tabs>
          <w:tab w:val="clear" w:pos="709"/>
        </w:tabs>
        <w:spacing w:line="320" w:lineRule="exact"/>
        <w:rPr>
          <w:rFonts w:ascii="Trebuchet MS" w:hAnsi="Trebuchet MS"/>
        </w:rPr>
      </w:pPr>
    </w:p>
    <w:tbl>
      <w:tblPr>
        <w:tblStyle w:val="Tabellenraster"/>
        <w:tblW w:w="0" w:type="auto"/>
        <w:tblInd w:w="108" w:type="dxa"/>
        <w:tblLook w:val="04A0" w:firstRow="1" w:lastRow="0" w:firstColumn="1" w:lastColumn="0" w:noHBand="0" w:noVBand="1"/>
      </w:tblPr>
      <w:tblGrid>
        <w:gridCol w:w="2155"/>
        <w:gridCol w:w="1560"/>
        <w:gridCol w:w="1701"/>
        <w:gridCol w:w="1417"/>
        <w:gridCol w:w="1553"/>
      </w:tblGrid>
      <w:tr w:rsidR="006A3107" w:rsidRPr="006A3107" w14:paraId="2C0F28D3" w14:textId="77777777" w:rsidTr="00F7257E">
        <w:tc>
          <w:tcPr>
            <w:tcW w:w="8386" w:type="dxa"/>
            <w:gridSpan w:val="5"/>
            <w:vAlign w:val="center"/>
          </w:tcPr>
          <w:p w14:paraId="14B2D7D8"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2025</w:t>
            </w:r>
          </w:p>
        </w:tc>
      </w:tr>
      <w:tr w:rsidR="006A3107" w:rsidRPr="006A3107" w14:paraId="40AF647D" w14:textId="77777777" w:rsidTr="00F7257E">
        <w:tc>
          <w:tcPr>
            <w:tcW w:w="2155" w:type="dxa"/>
            <w:vAlign w:val="center"/>
          </w:tcPr>
          <w:p w14:paraId="5C9DF8B3"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Jahresbruttospieleinnahmen (exkl. </w:t>
            </w:r>
            <w:proofErr w:type="spellStart"/>
            <w:r w:rsidRPr="006A3107">
              <w:rPr>
                <w:rFonts w:ascii="Trebuchet MS" w:hAnsi="Trebuchet MS"/>
              </w:rPr>
              <w:t>USt</w:t>
            </w:r>
            <w:proofErr w:type="spellEnd"/>
            <w:r w:rsidRPr="006A3107">
              <w:rPr>
                <w:rFonts w:ascii="Trebuchet MS" w:hAnsi="Trebuchet MS"/>
              </w:rPr>
              <w:t>)</w:t>
            </w:r>
          </w:p>
        </w:tc>
        <w:tc>
          <w:tcPr>
            <w:tcW w:w="1560" w:type="dxa"/>
            <w:vAlign w:val="center"/>
          </w:tcPr>
          <w:p w14:paraId="335AC0E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Stammabgabe Bund</w:t>
            </w:r>
          </w:p>
          <w:p w14:paraId="3BA6F12D"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(10 %)</w:t>
            </w:r>
          </w:p>
        </w:tc>
        <w:tc>
          <w:tcPr>
            <w:tcW w:w="1701" w:type="dxa"/>
            <w:vAlign w:val="center"/>
          </w:tcPr>
          <w:p w14:paraId="0E7F18FA"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Überweisungsbetrag Bund</w:t>
            </w:r>
          </w:p>
        </w:tc>
        <w:tc>
          <w:tcPr>
            <w:tcW w:w="1417" w:type="dxa"/>
            <w:vAlign w:val="center"/>
          </w:tcPr>
          <w:p w14:paraId="3CEDE931"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Anteil Land (40 %)</w:t>
            </w:r>
          </w:p>
        </w:tc>
        <w:tc>
          <w:tcPr>
            <w:tcW w:w="1553" w:type="dxa"/>
            <w:vAlign w:val="center"/>
          </w:tcPr>
          <w:p w14:paraId="0E17C363"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Anteil Gemeinden (60 %)</w:t>
            </w:r>
          </w:p>
        </w:tc>
      </w:tr>
      <w:tr w:rsidR="006A3107" w:rsidRPr="006A3107" w14:paraId="1864CBA0" w14:textId="77777777" w:rsidTr="00F7257E">
        <w:tc>
          <w:tcPr>
            <w:tcW w:w="2155" w:type="dxa"/>
            <w:vAlign w:val="center"/>
          </w:tcPr>
          <w:p w14:paraId="23AED9BE"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4.654.079,6 €</w:t>
            </w:r>
          </w:p>
        </w:tc>
        <w:tc>
          <w:tcPr>
            <w:tcW w:w="1560" w:type="dxa"/>
            <w:vAlign w:val="center"/>
          </w:tcPr>
          <w:p w14:paraId="05E408B2"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465.407,96 €</w:t>
            </w:r>
          </w:p>
        </w:tc>
        <w:tc>
          <w:tcPr>
            <w:tcW w:w="1701" w:type="dxa"/>
            <w:vAlign w:val="center"/>
          </w:tcPr>
          <w:p w14:paraId="182E50C2"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698.111,94 €</w:t>
            </w:r>
          </w:p>
        </w:tc>
        <w:tc>
          <w:tcPr>
            <w:tcW w:w="1417" w:type="dxa"/>
            <w:vAlign w:val="center"/>
          </w:tcPr>
          <w:p w14:paraId="43DCEFE1"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279.244,7 €</w:t>
            </w:r>
          </w:p>
        </w:tc>
        <w:tc>
          <w:tcPr>
            <w:tcW w:w="1553" w:type="dxa"/>
            <w:vAlign w:val="center"/>
          </w:tcPr>
          <w:p w14:paraId="0DEB5692"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418.867,2 €</w:t>
            </w:r>
          </w:p>
        </w:tc>
      </w:tr>
    </w:tbl>
    <w:p w14:paraId="6DE46F85" w14:textId="77777777" w:rsidR="006A3107" w:rsidRPr="006A3107" w:rsidRDefault="006A3107" w:rsidP="006A3107">
      <w:pPr>
        <w:tabs>
          <w:tab w:val="clear" w:pos="709"/>
        </w:tabs>
        <w:spacing w:line="320" w:lineRule="exact"/>
        <w:rPr>
          <w:rFonts w:ascii="Trebuchet MS" w:hAnsi="Trebuchet MS"/>
        </w:rPr>
      </w:pPr>
    </w:p>
    <w:p w14:paraId="6F973C92" w14:textId="3B32779E" w:rsidR="006A3107" w:rsidRPr="006A3107" w:rsidRDefault="001029DC" w:rsidP="006A3107">
      <w:pPr>
        <w:tabs>
          <w:tab w:val="clear" w:pos="709"/>
        </w:tabs>
        <w:spacing w:line="320" w:lineRule="exact"/>
        <w:rPr>
          <w:rFonts w:ascii="Trebuchet MS" w:hAnsi="Trebuchet MS"/>
        </w:rPr>
      </w:pPr>
      <w:r w:rsidRPr="0042701A">
        <w:rPr>
          <w:rFonts w:ascii="Trebuchet MS" w:hAnsi="Trebuchet MS"/>
          <w:b/>
          <w:bCs/>
        </w:rPr>
        <w:t>3</w:t>
      </w:r>
      <w:r w:rsidR="006A3107" w:rsidRPr="0042701A">
        <w:rPr>
          <w:rFonts w:ascii="Trebuchet MS" w:hAnsi="Trebuchet MS"/>
          <w:b/>
          <w:bCs/>
        </w:rPr>
        <w:t>.</w:t>
      </w:r>
      <w:r w:rsidRPr="0042701A">
        <w:rPr>
          <w:rFonts w:ascii="Trebuchet MS" w:hAnsi="Trebuchet MS"/>
          <w:b/>
          <w:bCs/>
        </w:rPr>
        <w:t>2</w:t>
      </w:r>
      <w:r w:rsidR="006A3107" w:rsidRPr="0042701A">
        <w:rPr>
          <w:rFonts w:ascii="Trebuchet MS" w:hAnsi="Trebuchet MS"/>
          <w:b/>
          <w:bCs/>
        </w:rPr>
        <w:t>.</w:t>
      </w:r>
      <w:r w:rsidRPr="0042701A">
        <w:rPr>
          <w:rFonts w:ascii="Trebuchet MS" w:hAnsi="Trebuchet MS"/>
          <w:b/>
          <w:bCs/>
        </w:rPr>
        <w:t>7</w:t>
      </w:r>
      <w:r w:rsidR="006A3107" w:rsidRPr="0042701A">
        <w:rPr>
          <w:rFonts w:ascii="Trebuchet MS" w:hAnsi="Trebuchet MS"/>
          <w:b/>
          <w:bCs/>
        </w:rPr>
        <w:t>.</w:t>
      </w:r>
      <w:r w:rsidR="006A3107" w:rsidRPr="006A3107">
        <w:rPr>
          <w:rFonts w:ascii="Trebuchet MS" w:hAnsi="Trebuchet MS"/>
        </w:rPr>
        <w:t xml:space="preserve"> Mit Wirksamkeit ab dem 1. Jänner 2026 beträgt die Stammabgabe des Bundes – und damit auch die Bemessungsgrundlage für die Zuschlagsabgabe des Landes – 11 vH der Jahresbruttospieleinnahmen (</w:t>
      </w:r>
      <w:proofErr w:type="spellStart"/>
      <w:r w:rsidR="006A3107" w:rsidRPr="006A3107">
        <w:rPr>
          <w:rFonts w:ascii="Trebuchet MS" w:hAnsi="Trebuchet MS"/>
        </w:rPr>
        <w:t>exkl</w:t>
      </w:r>
      <w:proofErr w:type="spellEnd"/>
      <w:r w:rsidR="006A3107" w:rsidRPr="006A3107">
        <w:rPr>
          <w:rFonts w:ascii="Trebuchet MS" w:hAnsi="Trebuchet MS"/>
        </w:rPr>
        <w:t xml:space="preserve"> </w:t>
      </w:r>
      <w:proofErr w:type="spellStart"/>
      <w:r w:rsidR="006A3107" w:rsidRPr="006A3107">
        <w:rPr>
          <w:rFonts w:ascii="Trebuchet MS" w:hAnsi="Trebuchet MS"/>
        </w:rPr>
        <w:t>USt</w:t>
      </w:r>
      <w:proofErr w:type="spellEnd"/>
      <w:r w:rsidR="006A3107" w:rsidRPr="006A3107">
        <w:rPr>
          <w:rFonts w:ascii="Trebuchet MS" w:hAnsi="Trebuchet MS"/>
        </w:rPr>
        <w:t xml:space="preserve">). Bei gleichbleibender Höhe der Zuschlagsabgabe (= 150 % der Stammabgabe) und bei unverändertem Aufteilungsschlüssel zwischen dem Land und den Gemeinden (= </w:t>
      </w:r>
      <w:proofErr w:type="gramStart"/>
      <w:r w:rsidR="006A3107" w:rsidRPr="006A3107">
        <w:rPr>
          <w:rFonts w:ascii="Trebuchet MS" w:hAnsi="Trebuchet MS"/>
        </w:rPr>
        <w:t>40 :</w:t>
      </w:r>
      <w:proofErr w:type="gramEnd"/>
      <w:r w:rsidR="006A3107" w:rsidRPr="006A3107">
        <w:rPr>
          <w:rFonts w:ascii="Trebuchet MS" w:hAnsi="Trebuchet MS"/>
        </w:rPr>
        <w:t xml:space="preserve"> 60 gemäß § 2 Abs 1 VLT-Zuschlagsabgabegesetz) ergeben sich für das Jahr 2026 die folgenden Beträge:</w:t>
      </w:r>
    </w:p>
    <w:p w14:paraId="17FBA59A" w14:textId="77777777" w:rsidR="006A3107" w:rsidRPr="006A3107" w:rsidRDefault="006A3107" w:rsidP="006A3107">
      <w:pPr>
        <w:tabs>
          <w:tab w:val="clear" w:pos="709"/>
        </w:tabs>
        <w:spacing w:line="320" w:lineRule="exact"/>
        <w:rPr>
          <w:rFonts w:ascii="Trebuchet MS" w:hAnsi="Trebuchet MS"/>
        </w:rPr>
      </w:pPr>
    </w:p>
    <w:tbl>
      <w:tblPr>
        <w:tblStyle w:val="Tabellenraster"/>
        <w:tblW w:w="0" w:type="auto"/>
        <w:tblInd w:w="108" w:type="dxa"/>
        <w:tblLook w:val="04A0" w:firstRow="1" w:lastRow="0" w:firstColumn="1" w:lastColumn="0" w:noHBand="0" w:noVBand="1"/>
      </w:tblPr>
      <w:tblGrid>
        <w:gridCol w:w="2439"/>
        <w:gridCol w:w="1417"/>
        <w:gridCol w:w="1701"/>
        <w:gridCol w:w="1418"/>
        <w:gridCol w:w="1411"/>
      </w:tblGrid>
      <w:tr w:rsidR="006A3107" w:rsidRPr="006A3107" w14:paraId="008D0795" w14:textId="77777777" w:rsidTr="00F7257E">
        <w:tc>
          <w:tcPr>
            <w:tcW w:w="8386" w:type="dxa"/>
            <w:gridSpan w:val="5"/>
            <w:vAlign w:val="center"/>
          </w:tcPr>
          <w:p w14:paraId="2C0CC277"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2026</w:t>
            </w:r>
          </w:p>
        </w:tc>
      </w:tr>
      <w:tr w:rsidR="006A3107" w:rsidRPr="006A3107" w14:paraId="4C8B811E" w14:textId="77777777" w:rsidTr="00F7257E">
        <w:tc>
          <w:tcPr>
            <w:tcW w:w="2439" w:type="dxa"/>
            <w:vAlign w:val="center"/>
          </w:tcPr>
          <w:p w14:paraId="3D68830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Jahresbruttospieleinnahmen (exkl. </w:t>
            </w:r>
            <w:proofErr w:type="spellStart"/>
            <w:r w:rsidRPr="006A3107">
              <w:rPr>
                <w:rFonts w:ascii="Trebuchet MS" w:hAnsi="Trebuchet MS"/>
              </w:rPr>
              <w:t>USt</w:t>
            </w:r>
            <w:proofErr w:type="spellEnd"/>
            <w:r w:rsidRPr="006A3107">
              <w:rPr>
                <w:rFonts w:ascii="Trebuchet MS" w:hAnsi="Trebuchet MS"/>
              </w:rPr>
              <w:t>)</w:t>
            </w:r>
          </w:p>
        </w:tc>
        <w:tc>
          <w:tcPr>
            <w:tcW w:w="1417" w:type="dxa"/>
            <w:vAlign w:val="center"/>
          </w:tcPr>
          <w:p w14:paraId="6D7730E1"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Stammabgabe Bund</w:t>
            </w:r>
          </w:p>
          <w:p w14:paraId="109B19C8"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(11 %)</w:t>
            </w:r>
          </w:p>
        </w:tc>
        <w:tc>
          <w:tcPr>
            <w:tcW w:w="1701" w:type="dxa"/>
            <w:vAlign w:val="center"/>
          </w:tcPr>
          <w:p w14:paraId="2938D2D1"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Überweisungsbetrag Bund</w:t>
            </w:r>
          </w:p>
        </w:tc>
        <w:tc>
          <w:tcPr>
            <w:tcW w:w="1418" w:type="dxa"/>
            <w:vAlign w:val="center"/>
          </w:tcPr>
          <w:p w14:paraId="03FC6882"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Anteil Land (40 %)</w:t>
            </w:r>
          </w:p>
        </w:tc>
        <w:tc>
          <w:tcPr>
            <w:tcW w:w="1411" w:type="dxa"/>
            <w:vAlign w:val="center"/>
          </w:tcPr>
          <w:p w14:paraId="0541E8C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Anteil Gemeinden (60 %)</w:t>
            </w:r>
          </w:p>
        </w:tc>
      </w:tr>
      <w:tr w:rsidR="006A3107" w:rsidRPr="006A3107" w14:paraId="4817528D" w14:textId="77777777" w:rsidTr="00F7257E">
        <w:tc>
          <w:tcPr>
            <w:tcW w:w="2439" w:type="dxa"/>
            <w:vAlign w:val="center"/>
          </w:tcPr>
          <w:p w14:paraId="1EE5348A"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4.718.095,7 €</w:t>
            </w:r>
          </w:p>
        </w:tc>
        <w:tc>
          <w:tcPr>
            <w:tcW w:w="1417" w:type="dxa"/>
            <w:vAlign w:val="center"/>
          </w:tcPr>
          <w:p w14:paraId="5A1D6766"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518.990,5 €</w:t>
            </w:r>
          </w:p>
        </w:tc>
        <w:tc>
          <w:tcPr>
            <w:tcW w:w="1701" w:type="dxa"/>
            <w:vAlign w:val="center"/>
          </w:tcPr>
          <w:p w14:paraId="3514A905"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778.485,8 €</w:t>
            </w:r>
          </w:p>
        </w:tc>
        <w:tc>
          <w:tcPr>
            <w:tcW w:w="1418" w:type="dxa"/>
            <w:vAlign w:val="center"/>
          </w:tcPr>
          <w:p w14:paraId="74A4ED0B"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311.394,3 €</w:t>
            </w:r>
          </w:p>
        </w:tc>
        <w:tc>
          <w:tcPr>
            <w:tcW w:w="1411" w:type="dxa"/>
            <w:vAlign w:val="center"/>
          </w:tcPr>
          <w:p w14:paraId="7626C317"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467.091,5 €</w:t>
            </w:r>
          </w:p>
        </w:tc>
      </w:tr>
    </w:tbl>
    <w:p w14:paraId="41C6B52D" w14:textId="77777777" w:rsidR="006A3107" w:rsidRPr="006A3107" w:rsidRDefault="006A3107" w:rsidP="006A3107">
      <w:pPr>
        <w:tabs>
          <w:tab w:val="clear" w:pos="709"/>
        </w:tabs>
        <w:spacing w:line="320" w:lineRule="exact"/>
        <w:rPr>
          <w:rFonts w:ascii="Trebuchet MS" w:hAnsi="Trebuchet MS"/>
        </w:rPr>
      </w:pPr>
    </w:p>
    <w:p w14:paraId="49B32829" w14:textId="54DBD074" w:rsidR="0042701A" w:rsidRPr="00B2315C" w:rsidRDefault="006A3107" w:rsidP="006A3107">
      <w:pPr>
        <w:pStyle w:val="Listenabsatz"/>
        <w:numPr>
          <w:ilvl w:val="1"/>
          <w:numId w:val="2"/>
        </w:numPr>
        <w:tabs>
          <w:tab w:val="clear" w:pos="709"/>
        </w:tabs>
        <w:spacing w:line="320" w:lineRule="exact"/>
        <w:rPr>
          <w:rFonts w:ascii="Trebuchet MS" w:hAnsi="Trebuchet MS"/>
          <w:b/>
          <w:bCs/>
        </w:rPr>
      </w:pPr>
      <w:r w:rsidRPr="0042701A">
        <w:rPr>
          <w:rFonts w:ascii="Trebuchet MS" w:hAnsi="Trebuchet MS"/>
          <w:b/>
          <w:bCs/>
        </w:rPr>
        <w:t>Mehreinnahmen des Landes und der Gemeinden:</w:t>
      </w:r>
    </w:p>
    <w:p w14:paraId="3F02659E" w14:textId="6C435766"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 xml:space="preserve">Für das Land Salzburg und die Gemeinden ergeben sich daher </w:t>
      </w:r>
      <w:r w:rsidR="00E96BEB">
        <w:rPr>
          <w:rFonts w:ascii="Trebuchet MS" w:hAnsi="Trebuchet MS"/>
        </w:rPr>
        <w:t xml:space="preserve">auf </w:t>
      </w:r>
      <w:r w:rsidRPr="006A3107">
        <w:rPr>
          <w:rFonts w:ascii="Trebuchet MS" w:hAnsi="Trebuchet MS"/>
        </w:rPr>
        <w:t xml:space="preserve">Grund der Anhebung der Stammabgabe des Bundes auf 11 vH der um die gesetzliche Umsatzsteuer verminderten Jahresbruttospieleinnahmen (siehe dazu die §§ 57 Abs 4 und § 60 Abs 47 </w:t>
      </w:r>
      <w:proofErr w:type="spellStart"/>
      <w:r w:rsidRPr="006A3107">
        <w:rPr>
          <w:rFonts w:ascii="Trebuchet MS" w:hAnsi="Trebuchet MS"/>
        </w:rPr>
        <w:t>GSpG</w:t>
      </w:r>
      <w:proofErr w:type="spellEnd"/>
      <w:r w:rsidRPr="006A3107">
        <w:rPr>
          <w:rFonts w:ascii="Trebuchet MS" w:hAnsi="Trebuchet MS"/>
        </w:rPr>
        <w:t xml:space="preserve"> in der Fassung des Budgetbegleitgesetzes 2025, BGBl I </w:t>
      </w:r>
      <w:proofErr w:type="spellStart"/>
      <w:r w:rsidRPr="006A3107">
        <w:rPr>
          <w:rFonts w:ascii="Trebuchet MS" w:hAnsi="Trebuchet MS"/>
        </w:rPr>
        <w:t>Nr</w:t>
      </w:r>
      <w:proofErr w:type="spellEnd"/>
      <w:r w:rsidRPr="006A3107">
        <w:rPr>
          <w:rFonts w:ascii="Trebuchet MS" w:hAnsi="Trebuchet MS"/>
        </w:rPr>
        <w:t xml:space="preserve"> 25/2025) im Jahr 2026 gegenüber dem Jahr 2025 die folgenden Mehreinnahmen:</w:t>
      </w:r>
    </w:p>
    <w:p w14:paraId="5A012A00" w14:textId="77777777" w:rsidR="006A3107" w:rsidRPr="006A3107" w:rsidRDefault="006A3107" w:rsidP="006A3107">
      <w:pPr>
        <w:tabs>
          <w:tab w:val="clear" w:pos="709"/>
        </w:tabs>
        <w:spacing w:line="320" w:lineRule="exact"/>
        <w:rPr>
          <w:rFonts w:ascii="Trebuchet MS" w:hAnsi="Trebuchet MS"/>
        </w:rPr>
      </w:pPr>
    </w:p>
    <w:tbl>
      <w:tblPr>
        <w:tblStyle w:val="Tabellenraster"/>
        <w:tblW w:w="0" w:type="auto"/>
        <w:tblInd w:w="108" w:type="dxa"/>
        <w:tblLook w:val="04A0" w:firstRow="1" w:lastRow="0" w:firstColumn="1" w:lastColumn="0" w:noHBand="0" w:noVBand="1"/>
      </w:tblPr>
      <w:tblGrid>
        <w:gridCol w:w="4125"/>
        <w:gridCol w:w="4261"/>
      </w:tblGrid>
      <w:tr w:rsidR="006A3107" w:rsidRPr="006A3107" w14:paraId="4FC67657" w14:textId="77777777" w:rsidTr="00B44E3A">
        <w:tc>
          <w:tcPr>
            <w:tcW w:w="4235" w:type="dxa"/>
            <w:vAlign w:val="center"/>
          </w:tcPr>
          <w:p w14:paraId="79B52667"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Land</w:t>
            </w:r>
          </w:p>
        </w:tc>
        <w:tc>
          <w:tcPr>
            <w:tcW w:w="4377" w:type="dxa"/>
            <w:vAlign w:val="center"/>
          </w:tcPr>
          <w:p w14:paraId="358F268B"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Gemeinden</w:t>
            </w:r>
          </w:p>
        </w:tc>
      </w:tr>
      <w:tr w:rsidR="006A3107" w:rsidRPr="006A3107" w14:paraId="7139C90E" w14:textId="77777777" w:rsidTr="00B44E3A">
        <w:tc>
          <w:tcPr>
            <w:tcW w:w="4235" w:type="dxa"/>
            <w:vAlign w:val="center"/>
          </w:tcPr>
          <w:p w14:paraId="0BB6CB43"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32.149,60 €</w:t>
            </w:r>
          </w:p>
        </w:tc>
        <w:tc>
          <w:tcPr>
            <w:tcW w:w="4377" w:type="dxa"/>
            <w:vAlign w:val="center"/>
          </w:tcPr>
          <w:p w14:paraId="7EA09324" w14:textId="77777777" w:rsidR="006A3107" w:rsidRPr="006A3107" w:rsidRDefault="006A3107" w:rsidP="006A3107">
            <w:pPr>
              <w:tabs>
                <w:tab w:val="clear" w:pos="709"/>
              </w:tabs>
              <w:spacing w:line="320" w:lineRule="exact"/>
              <w:rPr>
                <w:rFonts w:ascii="Trebuchet MS" w:hAnsi="Trebuchet MS"/>
              </w:rPr>
            </w:pPr>
            <w:r w:rsidRPr="006A3107">
              <w:rPr>
                <w:rFonts w:ascii="Trebuchet MS" w:hAnsi="Trebuchet MS"/>
              </w:rPr>
              <w:t>48.224,27 €</w:t>
            </w:r>
          </w:p>
        </w:tc>
      </w:tr>
    </w:tbl>
    <w:p w14:paraId="50E31D63" w14:textId="77777777" w:rsidR="006A3107" w:rsidRPr="006A3107" w:rsidRDefault="006A3107" w:rsidP="006A3107">
      <w:pPr>
        <w:tabs>
          <w:tab w:val="clear" w:pos="709"/>
        </w:tabs>
        <w:spacing w:line="320" w:lineRule="exact"/>
        <w:rPr>
          <w:rFonts w:ascii="Trebuchet MS" w:hAnsi="Trebuchet MS"/>
        </w:rPr>
      </w:pPr>
    </w:p>
    <w:p w14:paraId="33EB502F" w14:textId="6E7CE0F5" w:rsidR="0042701A" w:rsidRPr="0042701A" w:rsidRDefault="006A3107" w:rsidP="0042701A">
      <w:pPr>
        <w:tabs>
          <w:tab w:val="clear" w:pos="709"/>
        </w:tabs>
        <w:spacing w:line="320" w:lineRule="exact"/>
        <w:rPr>
          <w:rFonts w:ascii="Trebuchet MS" w:hAnsi="Trebuchet MS"/>
        </w:rPr>
        <w:sectPr w:rsidR="0042701A" w:rsidRPr="0042701A" w:rsidSect="006A3107">
          <w:headerReference w:type="even" r:id="rId8"/>
          <w:headerReference w:type="default" r:id="rId9"/>
          <w:footerReference w:type="first" r:id="rId10"/>
          <w:pgSz w:w="11906" w:h="16838" w:code="9"/>
          <w:pgMar w:top="1701" w:right="1701" w:bottom="1701" w:left="1701" w:header="567" w:footer="1304" w:gutter="0"/>
          <w:cols w:space="708"/>
          <w:titlePg/>
          <w:docGrid w:linePitch="360"/>
        </w:sectPr>
      </w:pPr>
      <w:r w:rsidRPr="006A3107">
        <w:rPr>
          <w:rFonts w:ascii="Trebuchet MS" w:hAnsi="Trebuchet MS"/>
        </w:rPr>
        <w:t xml:space="preserve">Für die Jahre ab 2027 wird von einer jährlichen Steigerung dieser Beträge um 1,38 % (siehe oben </w:t>
      </w:r>
      <w:proofErr w:type="spellStart"/>
      <w:r w:rsidRPr="006A3107">
        <w:rPr>
          <w:rFonts w:ascii="Trebuchet MS" w:hAnsi="Trebuchet MS"/>
        </w:rPr>
        <w:t>Pkt</w:t>
      </w:r>
      <w:proofErr w:type="spellEnd"/>
      <w:r w:rsidRPr="006A3107">
        <w:rPr>
          <w:rFonts w:ascii="Trebuchet MS" w:hAnsi="Trebuchet MS"/>
        </w:rPr>
        <w:t xml:space="preserve"> </w:t>
      </w:r>
      <w:r w:rsidR="004512AC">
        <w:rPr>
          <w:rFonts w:ascii="Trebuchet MS" w:hAnsi="Trebuchet MS"/>
        </w:rPr>
        <w:t>3.2.4.</w:t>
      </w:r>
      <w:r w:rsidRPr="006A3107">
        <w:rPr>
          <w:rFonts w:ascii="Trebuchet MS" w:hAnsi="Trebuchet MS"/>
        </w:rPr>
        <w:t>) gegenüber dem jeweiligen Vorjahr ausgega</w:t>
      </w:r>
      <w:r w:rsidR="00FD4567">
        <w:rPr>
          <w:rFonts w:ascii="Trebuchet MS" w:hAnsi="Trebuchet MS"/>
        </w:rPr>
        <w:t>ng</w:t>
      </w:r>
      <w:r w:rsidR="00E96BEB">
        <w:rPr>
          <w:rFonts w:ascii="Trebuchet MS" w:hAnsi="Trebuchet MS"/>
        </w:rPr>
        <w:t>e</w:t>
      </w:r>
      <w:r w:rsidR="00FD4567">
        <w:rPr>
          <w:rFonts w:ascii="Trebuchet MS" w:hAnsi="Trebuchet MS"/>
        </w:rPr>
        <w:t>n.</w:t>
      </w:r>
    </w:p>
    <w:p w14:paraId="0F549654" w14:textId="77777777"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lastRenderedPageBreak/>
        <w:t>In diesem Zusammenhang stellen die unterzeichneten Abgeordneten den</w:t>
      </w:r>
    </w:p>
    <w:p w14:paraId="3B17CD03" w14:textId="77777777" w:rsidR="00FC70E0" w:rsidRPr="00FC70E0" w:rsidRDefault="00FC70E0" w:rsidP="00FC70E0">
      <w:pPr>
        <w:tabs>
          <w:tab w:val="clear" w:pos="709"/>
        </w:tabs>
        <w:spacing w:line="320" w:lineRule="exact"/>
        <w:rPr>
          <w:rFonts w:ascii="Trebuchet MS" w:hAnsi="Trebuchet MS"/>
        </w:rPr>
      </w:pPr>
    </w:p>
    <w:p w14:paraId="1B20C448" w14:textId="77777777" w:rsidR="00FC70E0" w:rsidRPr="00FC70E0" w:rsidRDefault="00FC70E0" w:rsidP="00FC70E0">
      <w:pPr>
        <w:tabs>
          <w:tab w:val="clear" w:pos="709"/>
        </w:tabs>
        <w:spacing w:line="320" w:lineRule="exact"/>
        <w:jc w:val="center"/>
        <w:rPr>
          <w:rFonts w:ascii="Trebuchet MS" w:hAnsi="Trebuchet MS"/>
        </w:rPr>
      </w:pPr>
      <w:r w:rsidRPr="00FC70E0">
        <w:rPr>
          <w:rFonts w:ascii="Trebuchet MS" w:hAnsi="Trebuchet MS"/>
        </w:rPr>
        <w:t>Antrag,</w:t>
      </w:r>
    </w:p>
    <w:p w14:paraId="5316CFFA" w14:textId="77777777" w:rsidR="00FC70E0" w:rsidRPr="00FC70E0" w:rsidRDefault="00FC70E0" w:rsidP="00FC70E0">
      <w:pPr>
        <w:tabs>
          <w:tab w:val="clear" w:pos="709"/>
        </w:tabs>
        <w:spacing w:line="320" w:lineRule="exact"/>
        <w:jc w:val="center"/>
        <w:rPr>
          <w:rFonts w:ascii="Trebuchet MS" w:hAnsi="Trebuchet MS"/>
        </w:rPr>
      </w:pPr>
    </w:p>
    <w:p w14:paraId="2D359126" w14:textId="77777777"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t>der Salzburger Landtag wolle beschließen:</w:t>
      </w:r>
    </w:p>
    <w:p w14:paraId="7B0E24C9" w14:textId="77777777" w:rsidR="00FC70E0" w:rsidRPr="00FC70E0" w:rsidRDefault="00FC70E0" w:rsidP="00FC70E0">
      <w:pPr>
        <w:tabs>
          <w:tab w:val="clear" w:pos="709"/>
        </w:tabs>
        <w:spacing w:line="320" w:lineRule="exact"/>
        <w:rPr>
          <w:rFonts w:ascii="Trebuchet MS" w:hAnsi="Trebuchet MS"/>
        </w:rPr>
      </w:pPr>
    </w:p>
    <w:p w14:paraId="68A625E2" w14:textId="0A211537" w:rsidR="00FC70E0" w:rsidRPr="00FC70E0" w:rsidRDefault="001029DC" w:rsidP="00FC70E0">
      <w:pPr>
        <w:tabs>
          <w:tab w:val="clear" w:pos="709"/>
        </w:tabs>
        <w:spacing w:line="320" w:lineRule="exact"/>
        <w:rPr>
          <w:rFonts w:ascii="Trebuchet MS" w:hAnsi="Trebuchet MS"/>
        </w:rPr>
      </w:pPr>
      <w:r>
        <w:rPr>
          <w:rFonts w:ascii="Trebuchet MS" w:hAnsi="Trebuchet MS"/>
        </w:rPr>
        <w:t>Das beiliegende Gesetz wird zum Beschluss erhoben.</w:t>
      </w:r>
    </w:p>
    <w:p w14:paraId="49083A79" w14:textId="77777777" w:rsidR="00FC70E0" w:rsidRPr="00FC70E0" w:rsidRDefault="00FC70E0" w:rsidP="00FC70E0">
      <w:pPr>
        <w:tabs>
          <w:tab w:val="clear" w:pos="709"/>
        </w:tabs>
        <w:spacing w:line="320" w:lineRule="exact"/>
        <w:rPr>
          <w:rFonts w:ascii="Trebuchet MS" w:hAnsi="Trebuchet MS"/>
        </w:rPr>
      </w:pPr>
    </w:p>
    <w:p w14:paraId="5BB818F6" w14:textId="2356FCB1" w:rsidR="00FC70E0" w:rsidRPr="00FC70E0" w:rsidRDefault="001029DC" w:rsidP="00FC70E0">
      <w:pPr>
        <w:tabs>
          <w:tab w:val="clear" w:pos="709"/>
        </w:tabs>
        <w:spacing w:line="320" w:lineRule="exact"/>
        <w:rPr>
          <w:rFonts w:ascii="Trebuchet MS" w:hAnsi="Trebuchet MS"/>
        </w:rPr>
      </w:pPr>
      <w:r>
        <w:rPr>
          <w:rFonts w:ascii="Trebuchet MS" w:hAnsi="Trebuchet MS"/>
        </w:rPr>
        <w:t>Dieser Antrag wird dem Verfassungs- und Verwaltungsausschuss zur weiteren Beratung, Berichterstattung und Antragstellung zugewiesen.</w:t>
      </w:r>
    </w:p>
    <w:p w14:paraId="40A26983" w14:textId="77777777" w:rsidR="00FC70E0" w:rsidRPr="00FC70E0" w:rsidRDefault="00FC70E0" w:rsidP="00FC70E0">
      <w:pPr>
        <w:tabs>
          <w:tab w:val="clear" w:pos="709"/>
        </w:tabs>
        <w:spacing w:line="320" w:lineRule="exact"/>
        <w:rPr>
          <w:rFonts w:ascii="Trebuchet MS" w:hAnsi="Trebuchet MS"/>
        </w:rPr>
      </w:pPr>
    </w:p>
    <w:p w14:paraId="31B69FC1" w14:textId="77777777" w:rsidR="00FC70E0" w:rsidRPr="00FC70E0" w:rsidRDefault="00FC70E0" w:rsidP="00FC70E0">
      <w:pPr>
        <w:tabs>
          <w:tab w:val="clear" w:pos="709"/>
        </w:tabs>
        <w:spacing w:line="320" w:lineRule="exact"/>
        <w:rPr>
          <w:rFonts w:ascii="Trebuchet MS" w:hAnsi="Trebuchet MS"/>
        </w:rPr>
      </w:pPr>
    </w:p>
    <w:p w14:paraId="461B8ECC" w14:textId="4F463E4E" w:rsidR="00FC70E0" w:rsidRDefault="00FC70E0" w:rsidP="00FC70E0">
      <w:pPr>
        <w:tabs>
          <w:tab w:val="clear" w:pos="709"/>
        </w:tabs>
        <w:spacing w:line="320" w:lineRule="exact"/>
        <w:jc w:val="center"/>
        <w:rPr>
          <w:rFonts w:ascii="Trebuchet MS" w:hAnsi="Trebuchet MS"/>
        </w:rPr>
      </w:pPr>
      <w:r w:rsidRPr="00FC70E0">
        <w:rPr>
          <w:rFonts w:ascii="Trebuchet MS" w:hAnsi="Trebuchet MS"/>
        </w:rPr>
        <w:t xml:space="preserve">Salzburg, am </w:t>
      </w:r>
      <w:r w:rsidR="001029DC">
        <w:rPr>
          <w:rFonts w:ascii="Trebuchet MS" w:hAnsi="Trebuchet MS"/>
        </w:rPr>
        <w:t>17. Dezember 2025</w:t>
      </w:r>
    </w:p>
    <w:p w14:paraId="728EC9B7" w14:textId="77777777" w:rsidR="001029DC" w:rsidRPr="00FC70E0" w:rsidRDefault="001029DC" w:rsidP="00FC70E0">
      <w:pPr>
        <w:tabs>
          <w:tab w:val="clear" w:pos="709"/>
        </w:tabs>
        <w:spacing w:line="320" w:lineRule="exact"/>
        <w:jc w:val="center"/>
        <w:rPr>
          <w:rFonts w:ascii="Trebuchet MS" w:hAnsi="Trebuchet MS"/>
        </w:rPr>
      </w:pPr>
    </w:p>
    <w:p w14:paraId="2A42003A" w14:textId="77777777" w:rsidR="00FC70E0" w:rsidRPr="00FC70E0" w:rsidRDefault="00FC70E0" w:rsidP="00FC70E0">
      <w:pPr>
        <w:tabs>
          <w:tab w:val="clear" w:pos="709"/>
        </w:tabs>
        <w:spacing w:line="320" w:lineRule="exact"/>
        <w:jc w:val="center"/>
        <w:rPr>
          <w:rFonts w:ascii="Trebuchet MS" w:hAnsi="Trebuchet M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7"/>
      </w:tblGrid>
      <w:tr w:rsidR="00FC70E0" w:rsidRPr="00FC70E0" w14:paraId="166D519A" w14:textId="77777777" w:rsidTr="00FC70E0">
        <w:tc>
          <w:tcPr>
            <w:tcW w:w="3096" w:type="dxa"/>
          </w:tcPr>
          <w:p w14:paraId="410F7BED" w14:textId="449AE1C1" w:rsidR="00FC70E0" w:rsidRPr="00FC70E0" w:rsidRDefault="001029DC" w:rsidP="00FC70E0">
            <w:pPr>
              <w:tabs>
                <w:tab w:val="clear" w:pos="709"/>
              </w:tabs>
              <w:spacing w:line="320" w:lineRule="exact"/>
              <w:rPr>
                <w:rFonts w:ascii="Trebuchet MS" w:hAnsi="Trebuchet MS"/>
              </w:rPr>
            </w:pPr>
            <w:r>
              <w:rPr>
                <w:rFonts w:ascii="Trebuchet MS" w:hAnsi="Trebuchet MS"/>
              </w:rPr>
              <w:t>Mag. Mayer</w:t>
            </w:r>
            <w:r w:rsidR="00FC70E0" w:rsidRPr="00FC70E0">
              <w:rPr>
                <w:rFonts w:ascii="Trebuchet MS" w:hAnsi="Trebuchet MS"/>
              </w:rPr>
              <w:t xml:space="preserve"> eh.</w:t>
            </w:r>
          </w:p>
        </w:tc>
        <w:tc>
          <w:tcPr>
            <w:tcW w:w="3096" w:type="dxa"/>
          </w:tcPr>
          <w:p w14:paraId="0A11F82F" w14:textId="42F247F9" w:rsidR="00FC70E0" w:rsidRPr="00FC70E0" w:rsidRDefault="001029DC" w:rsidP="00FC70E0">
            <w:pPr>
              <w:tabs>
                <w:tab w:val="clear" w:pos="709"/>
              </w:tabs>
              <w:spacing w:line="320" w:lineRule="exact"/>
              <w:jc w:val="center"/>
              <w:rPr>
                <w:rFonts w:ascii="Trebuchet MS" w:hAnsi="Trebuchet MS"/>
              </w:rPr>
            </w:pPr>
            <w:r>
              <w:rPr>
                <w:rFonts w:ascii="Trebuchet MS" w:hAnsi="Trebuchet MS"/>
              </w:rPr>
              <w:t xml:space="preserve">Mag. Scharfetter </w:t>
            </w:r>
            <w:r w:rsidR="00FC70E0" w:rsidRPr="00FC70E0">
              <w:rPr>
                <w:rFonts w:ascii="Trebuchet MS" w:hAnsi="Trebuchet MS"/>
              </w:rPr>
              <w:t>eh.</w:t>
            </w:r>
          </w:p>
        </w:tc>
        <w:tc>
          <w:tcPr>
            <w:tcW w:w="3097" w:type="dxa"/>
          </w:tcPr>
          <w:p w14:paraId="6E6AE8AE" w14:textId="41DE3662" w:rsidR="00FC70E0" w:rsidRPr="00FC70E0" w:rsidRDefault="001029DC" w:rsidP="00FC70E0">
            <w:pPr>
              <w:tabs>
                <w:tab w:val="clear" w:pos="709"/>
              </w:tabs>
              <w:spacing w:line="320" w:lineRule="exact"/>
              <w:jc w:val="right"/>
              <w:rPr>
                <w:rFonts w:ascii="Trebuchet MS" w:hAnsi="Trebuchet MS"/>
              </w:rPr>
            </w:pPr>
            <w:r>
              <w:rPr>
                <w:rFonts w:ascii="Trebuchet MS" w:hAnsi="Trebuchet MS"/>
              </w:rPr>
              <w:t>Schernthaner MIM</w:t>
            </w:r>
            <w:r w:rsidR="00FC70E0" w:rsidRPr="00FC70E0">
              <w:rPr>
                <w:rFonts w:ascii="Trebuchet MS" w:hAnsi="Trebuchet MS"/>
              </w:rPr>
              <w:t xml:space="preserve"> eh.</w:t>
            </w:r>
          </w:p>
        </w:tc>
      </w:tr>
    </w:tbl>
    <w:p w14:paraId="7AE0341E" w14:textId="77777777" w:rsidR="00FC70E0" w:rsidRPr="00FC70E0" w:rsidRDefault="00FC70E0" w:rsidP="00FC70E0">
      <w:pPr>
        <w:tabs>
          <w:tab w:val="clear" w:pos="709"/>
        </w:tabs>
        <w:spacing w:line="320" w:lineRule="exact"/>
        <w:jc w:val="center"/>
        <w:rPr>
          <w:rFonts w:ascii="Trebuchet MS" w:hAnsi="Trebuchet MS"/>
        </w:rPr>
      </w:pPr>
    </w:p>
    <w:p w14:paraId="063C656D" w14:textId="77777777" w:rsidR="00FC70E0" w:rsidRPr="00FC70E0" w:rsidRDefault="00FC70E0" w:rsidP="00FC70E0">
      <w:pPr>
        <w:tabs>
          <w:tab w:val="clear" w:pos="709"/>
        </w:tabs>
        <w:spacing w:line="320" w:lineRule="exact"/>
        <w:rPr>
          <w:rFonts w:ascii="Trebuchet MS" w:hAnsi="Trebuchet MS"/>
        </w:rPr>
      </w:pPr>
    </w:p>
    <w:p w14:paraId="560BCA42" w14:textId="77777777" w:rsidR="00FC70E0" w:rsidRDefault="00FC70E0" w:rsidP="00FC70E0">
      <w:pPr>
        <w:tabs>
          <w:tab w:val="clear" w:pos="709"/>
        </w:tabs>
        <w:spacing w:line="320" w:lineRule="exact"/>
        <w:rPr>
          <w:rFonts w:ascii="Trebuchet MS" w:hAnsi="Trebuchet MS"/>
        </w:rPr>
      </w:pPr>
    </w:p>
    <w:p w14:paraId="22266F25" w14:textId="77777777" w:rsidR="00FD4567" w:rsidRDefault="00FD4567" w:rsidP="00FC70E0">
      <w:pPr>
        <w:tabs>
          <w:tab w:val="clear" w:pos="709"/>
        </w:tabs>
        <w:spacing w:line="320" w:lineRule="exact"/>
        <w:rPr>
          <w:rFonts w:ascii="Trebuchet MS" w:hAnsi="Trebuchet MS"/>
        </w:rPr>
      </w:pPr>
    </w:p>
    <w:p w14:paraId="27F0CCDD" w14:textId="77777777" w:rsidR="00FD4567" w:rsidRDefault="00FD4567" w:rsidP="00FC70E0">
      <w:pPr>
        <w:tabs>
          <w:tab w:val="clear" w:pos="709"/>
        </w:tabs>
        <w:spacing w:line="320" w:lineRule="exact"/>
        <w:rPr>
          <w:rFonts w:ascii="Trebuchet MS" w:hAnsi="Trebuchet MS"/>
        </w:rPr>
      </w:pPr>
    </w:p>
    <w:p w14:paraId="2094EB97" w14:textId="77777777" w:rsidR="00FD4567" w:rsidRDefault="00FD4567" w:rsidP="00FC70E0">
      <w:pPr>
        <w:tabs>
          <w:tab w:val="clear" w:pos="709"/>
        </w:tabs>
        <w:spacing w:line="320" w:lineRule="exact"/>
        <w:rPr>
          <w:rFonts w:ascii="Trebuchet MS" w:hAnsi="Trebuchet MS"/>
        </w:rPr>
      </w:pPr>
    </w:p>
    <w:p w14:paraId="117C2DEC" w14:textId="77777777" w:rsidR="00FD4567" w:rsidRDefault="00FD4567" w:rsidP="00FC70E0">
      <w:pPr>
        <w:tabs>
          <w:tab w:val="clear" w:pos="709"/>
        </w:tabs>
        <w:spacing w:line="320" w:lineRule="exact"/>
        <w:rPr>
          <w:rFonts w:ascii="Trebuchet MS" w:hAnsi="Trebuchet MS"/>
        </w:rPr>
      </w:pPr>
    </w:p>
    <w:p w14:paraId="1C86A03A" w14:textId="77777777" w:rsidR="00FD4567" w:rsidRDefault="00FD4567" w:rsidP="00FC70E0">
      <w:pPr>
        <w:tabs>
          <w:tab w:val="clear" w:pos="709"/>
        </w:tabs>
        <w:spacing w:line="320" w:lineRule="exact"/>
        <w:rPr>
          <w:rFonts w:ascii="Trebuchet MS" w:hAnsi="Trebuchet MS"/>
        </w:rPr>
      </w:pPr>
    </w:p>
    <w:p w14:paraId="49D1D22D" w14:textId="77777777" w:rsidR="00FD4567" w:rsidRDefault="00FD4567" w:rsidP="00FC70E0">
      <w:pPr>
        <w:tabs>
          <w:tab w:val="clear" w:pos="709"/>
        </w:tabs>
        <w:spacing w:line="320" w:lineRule="exact"/>
        <w:rPr>
          <w:rFonts w:ascii="Trebuchet MS" w:hAnsi="Trebuchet MS"/>
        </w:rPr>
      </w:pPr>
    </w:p>
    <w:p w14:paraId="65EBD8B6" w14:textId="77777777" w:rsidR="00FD4567" w:rsidRDefault="00FD4567" w:rsidP="00FC70E0">
      <w:pPr>
        <w:tabs>
          <w:tab w:val="clear" w:pos="709"/>
        </w:tabs>
        <w:spacing w:line="320" w:lineRule="exact"/>
        <w:rPr>
          <w:rFonts w:ascii="Trebuchet MS" w:hAnsi="Trebuchet MS"/>
        </w:rPr>
      </w:pPr>
    </w:p>
    <w:p w14:paraId="3BF1CD6F" w14:textId="77777777" w:rsidR="00FD4567" w:rsidRDefault="00FD4567" w:rsidP="00FC70E0">
      <w:pPr>
        <w:tabs>
          <w:tab w:val="clear" w:pos="709"/>
        </w:tabs>
        <w:spacing w:line="320" w:lineRule="exact"/>
        <w:rPr>
          <w:rFonts w:ascii="Trebuchet MS" w:hAnsi="Trebuchet MS"/>
        </w:rPr>
      </w:pPr>
    </w:p>
    <w:p w14:paraId="5A957E43" w14:textId="77777777" w:rsidR="00FD4567" w:rsidRDefault="00FD4567" w:rsidP="00FC70E0">
      <w:pPr>
        <w:tabs>
          <w:tab w:val="clear" w:pos="709"/>
        </w:tabs>
        <w:spacing w:line="320" w:lineRule="exact"/>
        <w:rPr>
          <w:rFonts w:ascii="Trebuchet MS" w:hAnsi="Trebuchet MS"/>
        </w:rPr>
      </w:pPr>
    </w:p>
    <w:p w14:paraId="56BC82BA" w14:textId="77777777" w:rsidR="00FD4567" w:rsidRDefault="00FD4567" w:rsidP="00FC70E0">
      <w:pPr>
        <w:tabs>
          <w:tab w:val="clear" w:pos="709"/>
        </w:tabs>
        <w:spacing w:line="320" w:lineRule="exact"/>
        <w:rPr>
          <w:rFonts w:ascii="Trebuchet MS" w:hAnsi="Trebuchet MS"/>
        </w:rPr>
      </w:pPr>
    </w:p>
    <w:p w14:paraId="4BB26E47" w14:textId="77777777" w:rsidR="00FD4567" w:rsidRDefault="00FD4567" w:rsidP="00FC70E0">
      <w:pPr>
        <w:tabs>
          <w:tab w:val="clear" w:pos="709"/>
        </w:tabs>
        <w:spacing w:line="320" w:lineRule="exact"/>
        <w:rPr>
          <w:rFonts w:ascii="Trebuchet MS" w:hAnsi="Trebuchet MS"/>
        </w:rPr>
      </w:pPr>
    </w:p>
    <w:p w14:paraId="2B676114" w14:textId="77777777" w:rsidR="00FD4567" w:rsidRDefault="00FD4567" w:rsidP="00FC70E0">
      <w:pPr>
        <w:tabs>
          <w:tab w:val="clear" w:pos="709"/>
        </w:tabs>
        <w:spacing w:line="320" w:lineRule="exact"/>
        <w:rPr>
          <w:rFonts w:ascii="Trebuchet MS" w:hAnsi="Trebuchet MS"/>
        </w:rPr>
      </w:pPr>
    </w:p>
    <w:p w14:paraId="0BA94B56" w14:textId="77777777" w:rsidR="00FD4567" w:rsidRDefault="00FD4567" w:rsidP="00FC70E0">
      <w:pPr>
        <w:tabs>
          <w:tab w:val="clear" w:pos="709"/>
        </w:tabs>
        <w:spacing w:line="320" w:lineRule="exact"/>
        <w:rPr>
          <w:rFonts w:ascii="Trebuchet MS" w:hAnsi="Trebuchet MS"/>
        </w:rPr>
      </w:pPr>
    </w:p>
    <w:p w14:paraId="577BD71A" w14:textId="77777777" w:rsidR="00FD4567" w:rsidRDefault="00FD4567" w:rsidP="00FC70E0">
      <w:pPr>
        <w:tabs>
          <w:tab w:val="clear" w:pos="709"/>
        </w:tabs>
        <w:spacing w:line="320" w:lineRule="exact"/>
        <w:rPr>
          <w:rFonts w:ascii="Trebuchet MS" w:hAnsi="Trebuchet MS"/>
        </w:rPr>
      </w:pPr>
    </w:p>
    <w:p w14:paraId="76F34C5B" w14:textId="77777777" w:rsidR="00FD4567" w:rsidRDefault="00FD4567" w:rsidP="00FC70E0">
      <w:pPr>
        <w:tabs>
          <w:tab w:val="clear" w:pos="709"/>
        </w:tabs>
        <w:spacing w:line="320" w:lineRule="exact"/>
        <w:rPr>
          <w:rFonts w:ascii="Trebuchet MS" w:hAnsi="Trebuchet MS"/>
        </w:rPr>
      </w:pPr>
    </w:p>
    <w:p w14:paraId="1F89058E" w14:textId="77777777" w:rsidR="00FD4567" w:rsidRDefault="00FD4567" w:rsidP="00FC70E0">
      <w:pPr>
        <w:tabs>
          <w:tab w:val="clear" w:pos="709"/>
        </w:tabs>
        <w:spacing w:line="320" w:lineRule="exact"/>
        <w:rPr>
          <w:rFonts w:ascii="Trebuchet MS" w:hAnsi="Trebuchet MS"/>
        </w:rPr>
      </w:pPr>
    </w:p>
    <w:p w14:paraId="2B0E6F89" w14:textId="77777777" w:rsidR="00FD4567" w:rsidRDefault="00FD4567" w:rsidP="00FC70E0">
      <w:pPr>
        <w:tabs>
          <w:tab w:val="clear" w:pos="709"/>
        </w:tabs>
        <w:spacing w:line="320" w:lineRule="exact"/>
        <w:rPr>
          <w:rFonts w:ascii="Trebuchet MS" w:hAnsi="Trebuchet MS"/>
        </w:rPr>
      </w:pPr>
    </w:p>
    <w:p w14:paraId="599DA357" w14:textId="77777777" w:rsidR="00FD4567" w:rsidRDefault="00FD4567" w:rsidP="00FC70E0">
      <w:pPr>
        <w:tabs>
          <w:tab w:val="clear" w:pos="709"/>
        </w:tabs>
        <w:spacing w:line="320" w:lineRule="exact"/>
        <w:rPr>
          <w:rFonts w:ascii="Trebuchet MS" w:hAnsi="Trebuchet MS"/>
        </w:rPr>
      </w:pPr>
    </w:p>
    <w:p w14:paraId="5CCFEF56" w14:textId="77777777" w:rsidR="00FD4567" w:rsidRDefault="00FD4567" w:rsidP="00FD4567">
      <w:pPr>
        <w:pStyle w:val="11Titel"/>
      </w:pPr>
    </w:p>
    <w:p w14:paraId="7AC574EF" w14:textId="77777777" w:rsidR="00FD4567" w:rsidRDefault="00FD4567" w:rsidP="00FD4567">
      <w:pPr>
        <w:pStyle w:val="11Titel"/>
      </w:pPr>
    </w:p>
    <w:p w14:paraId="32A89975" w14:textId="77777777" w:rsidR="00C424E7" w:rsidRDefault="00C424E7" w:rsidP="00FD4567">
      <w:pPr>
        <w:pStyle w:val="11Titel"/>
      </w:pPr>
    </w:p>
    <w:p w14:paraId="7602D51A" w14:textId="6A49F77E" w:rsidR="00FD4567" w:rsidRPr="008E3A2F" w:rsidRDefault="00FD4567" w:rsidP="00FD4567">
      <w:pPr>
        <w:pStyle w:val="11Titel"/>
      </w:pPr>
      <w:r w:rsidRPr="008E3A2F">
        <w:lastRenderedPageBreak/>
        <w:t>Gesetz vom ...................., mit dem das Salzburger VLT-Zuschlagsabgabegesetz geändert wird</w:t>
      </w:r>
    </w:p>
    <w:p w14:paraId="65B64FDD" w14:textId="77777777" w:rsidR="00FD4567" w:rsidRPr="008E3A2F" w:rsidRDefault="00FD4567" w:rsidP="00FD4567">
      <w:pPr>
        <w:pStyle w:val="12PromKlEinlSatz"/>
      </w:pPr>
      <w:r w:rsidRPr="008E3A2F">
        <w:t>Der Salzburger Landtag hat beschlossen:</w:t>
      </w:r>
    </w:p>
    <w:p w14:paraId="1E22B039" w14:textId="77777777" w:rsidR="00FD4567" w:rsidRPr="008E3A2F" w:rsidRDefault="00FD4567" w:rsidP="00FD4567">
      <w:pPr>
        <w:pStyle w:val="12PromKlEinlSatz"/>
      </w:pPr>
      <w:r w:rsidRPr="008E3A2F">
        <w:t xml:space="preserve">Das Salzburger VLT-Zuschlagsabgabegesetz, LGBl </w:t>
      </w:r>
      <w:proofErr w:type="spellStart"/>
      <w:r w:rsidRPr="008E3A2F">
        <w:t>Nr</w:t>
      </w:r>
      <w:proofErr w:type="spellEnd"/>
      <w:r w:rsidRPr="008E3A2F">
        <w:t xml:space="preserve"> 65/2011, wird geändert wie folgt:</w:t>
      </w:r>
    </w:p>
    <w:p w14:paraId="33CF3381" w14:textId="77777777" w:rsidR="00FD4567" w:rsidRPr="008E3A2F" w:rsidRDefault="00FD4567" w:rsidP="00FD4567">
      <w:pPr>
        <w:pStyle w:val="21NovAo1"/>
      </w:pPr>
      <w:r w:rsidRPr="008E3A2F">
        <w:t>1. § 1 lautet:</w:t>
      </w:r>
    </w:p>
    <w:p w14:paraId="2EF7A991" w14:textId="77777777" w:rsidR="00FD4567" w:rsidRPr="008E3A2F" w:rsidRDefault="00FD4567" w:rsidP="00FD4567">
      <w:pPr>
        <w:pStyle w:val="45UeberschrPara"/>
      </w:pPr>
      <w:r w:rsidRPr="008E3A2F">
        <w:t>„Höhe des Zuschlags</w:t>
      </w:r>
    </w:p>
    <w:p w14:paraId="6E30E103" w14:textId="77777777" w:rsidR="00FD4567" w:rsidRPr="008E3A2F" w:rsidRDefault="00FD4567" w:rsidP="00FD4567">
      <w:pPr>
        <w:pStyle w:val="45UeberschrPara"/>
      </w:pPr>
      <w:r w:rsidRPr="008E3A2F">
        <w:t>§ 1</w:t>
      </w:r>
    </w:p>
    <w:p w14:paraId="643518EA" w14:textId="77777777" w:rsidR="00FD4567" w:rsidRPr="005C0A33" w:rsidRDefault="00FD4567" w:rsidP="00FD4567">
      <w:pPr>
        <w:pStyle w:val="51Abs"/>
      </w:pPr>
      <w:r w:rsidRPr="005C0A33">
        <w:t xml:space="preserve">Das Land Salzburg erhebt für elektronische Lotterien über Video-Lotterie-Terminals – VLT, an denen die Teilnahme vom Bundesland Salzburg aus erfolgt, zur VLT-Abgabe (§ 57 Abs 4 </w:t>
      </w:r>
      <w:proofErr w:type="spellStart"/>
      <w:r w:rsidRPr="005C0A33">
        <w:t>GSpG</w:t>
      </w:r>
      <w:proofErr w:type="spellEnd"/>
      <w:r w:rsidRPr="005C0A33">
        <w:t>) einen Zuschlag in der Höhe von 150 % der Stammabgabe des Bundes.“</w:t>
      </w:r>
    </w:p>
    <w:p w14:paraId="6409A757" w14:textId="77777777" w:rsidR="00FD4567" w:rsidRPr="008E3A2F" w:rsidRDefault="00FD4567" w:rsidP="00FD4567">
      <w:pPr>
        <w:pStyle w:val="21NovAo1"/>
      </w:pPr>
      <w:r w:rsidRPr="008E3A2F">
        <w:t>2. Nach § 2 wird eingefügt:</w:t>
      </w:r>
    </w:p>
    <w:p w14:paraId="6165A8BE" w14:textId="77777777" w:rsidR="00FD4567" w:rsidRPr="008E3A2F" w:rsidRDefault="00FD4567" w:rsidP="00FD4567">
      <w:pPr>
        <w:pStyle w:val="45UeberschrPara"/>
      </w:pPr>
      <w:r w:rsidRPr="008E3A2F">
        <w:t>„Verweisungen auf Bundesrecht</w:t>
      </w:r>
    </w:p>
    <w:p w14:paraId="14076FB2" w14:textId="77777777" w:rsidR="00FD4567" w:rsidRPr="008E3A2F" w:rsidRDefault="00FD4567" w:rsidP="00FD4567">
      <w:pPr>
        <w:pStyle w:val="45UeberschrPara"/>
      </w:pPr>
      <w:r w:rsidRPr="008E3A2F">
        <w:t>§ 2a</w:t>
      </w:r>
    </w:p>
    <w:p w14:paraId="7C54BE00" w14:textId="77777777" w:rsidR="00FD4567" w:rsidRPr="008E3A2F" w:rsidRDefault="00FD4567" w:rsidP="00FD4567">
      <w:pPr>
        <w:pStyle w:val="23SatznachNovao"/>
      </w:pPr>
      <w:r w:rsidRPr="008E3A2F">
        <w:t xml:space="preserve">Die in diesem Gesetz enthaltenen Verweisungen auf das Glücksspielgesetz – </w:t>
      </w:r>
      <w:proofErr w:type="spellStart"/>
      <w:r w:rsidRPr="008E3A2F">
        <w:t>GSpG</w:t>
      </w:r>
      <w:proofErr w:type="spellEnd"/>
      <w:r w:rsidRPr="008E3A2F">
        <w:t xml:space="preserve"> beziehen sich auf das Glücksspielgesetz, BGBl </w:t>
      </w:r>
      <w:proofErr w:type="spellStart"/>
      <w:r w:rsidRPr="008E3A2F">
        <w:t>Nr</w:t>
      </w:r>
      <w:proofErr w:type="spellEnd"/>
      <w:r w:rsidRPr="008E3A2F">
        <w:t xml:space="preserve"> 620/1989, zuletzt geändert durch das Gesetz BGBl I </w:t>
      </w:r>
      <w:proofErr w:type="spellStart"/>
      <w:r w:rsidRPr="008E3A2F">
        <w:t>Nr</w:t>
      </w:r>
      <w:proofErr w:type="spellEnd"/>
      <w:r w:rsidRPr="008E3A2F">
        <w:t xml:space="preserve"> 50/2025.“</w:t>
      </w:r>
    </w:p>
    <w:p w14:paraId="5A0A0AFF" w14:textId="77777777" w:rsidR="00FD4567" w:rsidRPr="008E3A2F" w:rsidRDefault="00FD4567" w:rsidP="00FD4567">
      <w:pPr>
        <w:pStyle w:val="21NovAo1"/>
      </w:pPr>
      <w:r w:rsidRPr="008E3A2F">
        <w:t>3. Im § 3 wird angefügt:</w:t>
      </w:r>
    </w:p>
    <w:p w14:paraId="4E54C25C" w14:textId="77777777" w:rsidR="00FD4567" w:rsidRDefault="00FD4567" w:rsidP="00FD4567">
      <w:pPr>
        <w:pStyle w:val="51Abs"/>
      </w:pPr>
      <w:r w:rsidRPr="008E3A2F">
        <w:t xml:space="preserve">„(3) Die §§ 1 und 2a in der Fassung des Gesetzes LGBl </w:t>
      </w:r>
      <w:proofErr w:type="spellStart"/>
      <w:r w:rsidRPr="008E3A2F">
        <w:t>Nr</w:t>
      </w:r>
      <w:proofErr w:type="spellEnd"/>
      <w:r w:rsidRPr="008E3A2F">
        <w:t xml:space="preserve"> ........../2025 treten mit dem auf dessen Kundmachung folgenden Tag in Kraft.“</w:t>
      </w:r>
    </w:p>
    <w:p w14:paraId="281984A7" w14:textId="77777777" w:rsidR="00FD4567" w:rsidRPr="00FD4567" w:rsidRDefault="00FD4567" w:rsidP="00FC70E0">
      <w:pPr>
        <w:tabs>
          <w:tab w:val="clear" w:pos="709"/>
        </w:tabs>
        <w:spacing w:line="320" w:lineRule="exact"/>
        <w:rPr>
          <w:rFonts w:ascii="Trebuchet MS" w:hAnsi="Trebuchet MS"/>
          <w:lang w:val="de-AT"/>
        </w:rPr>
      </w:pPr>
    </w:p>
    <w:p w14:paraId="1D5B20A4" w14:textId="77777777" w:rsidR="00FC70E0" w:rsidRPr="00FC70E0" w:rsidRDefault="00FC70E0" w:rsidP="00FC70E0">
      <w:pPr>
        <w:tabs>
          <w:tab w:val="clear" w:pos="709"/>
        </w:tabs>
        <w:spacing w:line="320" w:lineRule="exact"/>
        <w:rPr>
          <w:rFonts w:ascii="Trebuchet MS" w:hAnsi="Trebuchet MS"/>
        </w:rPr>
      </w:pPr>
    </w:p>
    <w:p w14:paraId="4C00052D" w14:textId="77777777" w:rsidR="00FC70E0" w:rsidRPr="00FC70E0" w:rsidRDefault="00FC70E0" w:rsidP="00FC70E0">
      <w:pPr>
        <w:tabs>
          <w:tab w:val="clear" w:pos="709"/>
        </w:tabs>
        <w:spacing w:line="320" w:lineRule="exact"/>
        <w:rPr>
          <w:rFonts w:ascii="Trebuchet MS" w:hAnsi="Trebuchet MS"/>
        </w:rPr>
      </w:pPr>
    </w:p>
    <w:p w14:paraId="37D361C5" w14:textId="77777777" w:rsidR="00FC70E0" w:rsidRPr="00FC70E0" w:rsidRDefault="00FC70E0" w:rsidP="00FC70E0">
      <w:pPr>
        <w:tabs>
          <w:tab w:val="clear" w:pos="709"/>
        </w:tabs>
        <w:spacing w:line="320" w:lineRule="exact"/>
        <w:rPr>
          <w:rFonts w:ascii="Trebuchet MS" w:hAnsi="Trebuchet MS"/>
        </w:rPr>
      </w:pPr>
    </w:p>
    <w:p w14:paraId="435A94EA" w14:textId="77777777" w:rsidR="00FC70E0" w:rsidRPr="00FC70E0" w:rsidRDefault="00FC70E0" w:rsidP="00FC70E0">
      <w:pPr>
        <w:tabs>
          <w:tab w:val="clear" w:pos="709"/>
        </w:tabs>
        <w:spacing w:line="320" w:lineRule="exact"/>
        <w:rPr>
          <w:rFonts w:ascii="Trebuchet MS" w:hAnsi="Trebuchet MS"/>
        </w:rPr>
      </w:pPr>
    </w:p>
    <w:sectPr w:rsidR="00FC70E0" w:rsidRPr="00FC70E0">
      <w:headerReference w:type="even" r:id="rId11"/>
      <w:headerReference w:type="default" r:id="rId12"/>
      <w:footerReference w:type="even" r:id="rId13"/>
      <w:footerReference w:type="default" r:id="rId14"/>
      <w:pgSz w:w="11907" w:h="16840"/>
      <w:pgMar w:top="1304" w:right="1304" w:bottom="1474" w:left="1304"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9EE6" w14:textId="77777777" w:rsidR="006A3107" w:rsidRDefault="006A3107">
      <w:r>
        <w:separator/>
      </w:r>
    </w:p>
  </w:endnote>
  <w:endnote w:type="continuationSeparator" w:id="0">
    <w:p w14:paraId="236FD84B" w14:textId="77777777" w:rsidR="006A3107" w:rsidRDefault="006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ntax">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329434"/>
      <w:docPartObj>
        <w:docPartGallery w:val="Page Numbers (Bottom of Page)"/>
        <w:docPartUnique/>
      </w:docPartObj>
    </w:sdtPr>
    <w:sdtEndPr/>
    <w:sdtContent>
      <w:p w14:paraId="51BCB0E7" w14:textId="56E4C107" w:rsidR="00B17357" w:rsidRDefault="00B17357">
        <w:pPr>
          <w:pStyle w:val="Fuzeile"/>
          <w:jc w:val="right"/>
        </w:pPr>
        <w:r>
          <w:fldChar w:fldCharType="begin"/>
        </w:r>
        <w:r>
          <w:instrText>PAGE   \* MERGEFORMAT</w:instrText>
        </w:r>
        <w:r>
          <w:fldChar w:fldCharType="separate"/>
        </w:r>
        <w:r>
          <w:t>2</w:t>
        </w:r>
        <w:r>
          <w:fldChar w:fldCharType="end"/>
        </w:r>
      </w:p>
    </w:sdtContent>
  </w:sdt>
  <w:p w14:paraId="3069465A" w14:textId="77777777" w:rsidR="00B17357" w:rsidRDefault="00B173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625A" w14:textId="77777777" w:rsidR="00433121" w:rsidRDefault="00433121">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22B303CB" w14:textId="77777777" w:rsidR="00433121" w:rsidRDefault="00433121">
    <w:pPr>
      <w:pStyle w:val="Fuzeil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DB58" w14:textId="7317B42E" w:rsidR="00433121" w:rsidRPr="00FC70E0" w:rsidRDefault="00433121">
    <w:pPr>
      <w:pStyle w:val="Fuzeile"/>
      <w:framePr w:wrap="around" w:vAnchor="text" w:hAnchor="margin" w:xAlign="outside" w:y="1"/>
      <w:rPr>
        <w:rStyle w:val="Seitenzahl"/>
        <w:rFonts w:ascii="Trebuchet MS" w:hAnsi="Trebuchet MS" w:cs="Arial"/>
        <w:i/>
        <w:szCs w:val="22"/>
      </w:rPr>
    </w:pPr>
  </w:p>
  <w:p w14:paraId="4C1E7A63" w14:textId="77777777" w:rsidR="00433121" w:rsidRDefault="00433121" w:rsidP="00C424E7">
    <w:pPr>
      <w:pStyle w:val="Fuzeile"/>
      <w:ind w:right="360"/>
      <w:rPr>
        <w:rFonts w:ascii="Syntax" w:hAnsi="Syntax"/>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C577" w14:textId="77777777" w:rsidR="006A3107" w:rsidRDefault="006A3107">
      <w:r>
        <w:separator/>
      </w:r>
    </w:p>
  </w:footnote>
  <w:footnote w:type="continuationSeparator" w:id="0">
    <w:p w14:paraId="7C67B6B3" w14:textId="77777777" w:rsidR="006A3107" w:rsidRDefault="006A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4A82" w14:textId="77777777" w:rsidR="006A3107" w:rsidRPr="008E3A2F" w:rsidRDefault="006A3107" w:rsidP="000B632A">
    <w:pPr>
      <w:pStyle w:val="62Kopfzeile"/>
    </w:pPr>
    <w:r>
      <w:tab/>
    </w:r>
    <w:r>
      <w:tab/>
    </w:r>
    <w:r>
      <w:fldChar w:fldCharType="begin"/>
    </w:r>
    <w:r>
      <w:instrText xml:space="preserve"> PAGE  \* Arabic  \* MERGEFORMAT </w:instrText>
    </w:r>
    <w:r>
      <w:fldChar w:fldCharType="separate"/>
    </w:r>
    <w:r>
      <w:rPr>
        <w:noProof/>
      </w:rPr>
      <w:t>2</w:t>
    </w:r>
    <w:r>
      <w:fldChar w:fldCharType="end"/>
    </w:r>
    <w:r>
      <w:t xml:space="preserve"> von </w:t>
    </w:r>
    <w:fldSimple w:instr=" NUMPAGES  \* Arabic  \* MERGEFORMAT ">
      <w:r>
        <w:rPr>
          <w:noProof/>
        </w:rPr>
        <w:t>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0C02" w14:textId="1B4C58EE" w:rsidR="006A3107" w:rsidRPr="008E3A2F" w:rsidRDefault="006A3107" w:rsidP="000B632A">
    <w:pPr>
      <w:pStyle w:val="62Kopfzeil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52F0" w14:textId="54057682" w:rsidR="00433121" w:rsidRDefault="00433121">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FD4567">
      <w:rPr>
        <w:rStyle w:val="Seitenzahl"/>
        <w:noProof/>
      </w:rPr>
      <w:t>5</w:t>
    </w:r>
    <w:r>
      <w:rPr>
        <w:rStyle w:val="Seitenzahl"/>
      </w:rPr>
      <w:fldChar w:fldCharType="end"/>
    </w:r>
  </w:p>
  <w:p w14:paraId="7F3F861E" w14:textId="77777777" w:rsidR="00433121" w:rsidRDefault="00433121">
    <w:pPr>
      <w:pStyle w:val="Kopfzeile"/>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08F3" w14:textId="77777777" w:rsidR="00433121" w:rsidRDefault="00433121">
    <w:pPr>
      <w:pStyle w:val="Kopfzeile"/>
      <w:ind w:right="360" w:firstLine="360"/>
      <w:rPr>
        <w:rFonts w:ascii="Syntax" w:hAnsi="Synta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246E9"/>
    <w:multiLevelType w:val="multilevel"/>
    <w:tmpl w:val="CE2CE5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B4D2B3D"/>
    <w:multiLevelType w:val="multilevel"/>
    <w:tmpl w:val="DA2A040C"/>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9010866">
    <w:abstractNumId w:val="0"/>
  </w:num>
  <w:num w:numId="2" w16cid:durableId="127273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0"/>
    <w:rsid w:val="00031E3C"/>
    <w:rsid w:val="000B427F"/>
    <w:rsid w:val="000E36DE"/>
    <w:rsid w:val="001029DC"/>
    <w:rsid w:val="00131174"/>
    <w:rsid w:val="0015411B"/>
    <w:rsid w:val="0017725A"/>
    <w:rsid w:val="00255CC6"/>
    <w:rsid w:val="002C431B"/>
    <w:rsid w:val="002C46C7"/>
    <w:rsid w:val="00306AE4"/>
    <w:rsid w:val="003A7657"/>
    <w:rsid w:val="00422F0B"/>
    <w:rsid w:val="0042701A"/>
    <w:rsid w:val="00433121"/>
    <w:rsid w:val="004512AC"/>
    <w:rsid w:val="00471A66"/>
    <w:rsid w:val="004C4EF1"/>
    <w:rsid w:val="004D2013"/>
    <w:rsid w:val="0051573A"/>
    <w:rsid w:val="0055229C"/>
    <w:rsid w:val="006A3107"/>
    <w:rsid w:val="006D35E5"/>
    <w:rsid w:val="006F05AD"/>
    <w:rsid w:val="00742CAF"/>
    <w:rsid w:val="007A0BC0"/>
    <w:rsid w:val="008E6435"/>
    <w:rsid w:val="00901623"/>
    <w:rsid w:val="00912889"/>
    <w:rsid w:val="00970922"/>
    <w:rsid w:val="00AD571D"/>
    <w:rsid w:val="00B17357"/>
    <w:rsid w:val="00B2315C"/>
    <w:rsid w:val="00B25D6B"/>
    <w:rsid w:val="00B31E6E"/>
    <w:rsid w:val="00B8593A"/>
    <w:rsid w:val="00BF2CF3"/>
    <w:rsid w:val="00C424E7"/>
    <w:rsid w:val="00D0224C"/>
    <w:rsid w:val="00D1047D"/>
    <w:rsid w:val="00D30DE3"/>
    <w:rsid w:val="00D66420"/>
    <w:rsid w:val="00D76890"/>
    <w:rsid w:val="00E96BEB"/>
    <w:rsid w:val="00EB418A"/>
    <w:rsid w:val="00ED27B9"/>
    <w:rsid w:val="00F07236"/>
    <w:rsid w:val="00F7257E"/>
    <w:rsid w:val="00F9534F"/>
    <w:rsid w:val="00FC70E0"/>
    <w:rsid w:val="00FD45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4C8E1"/>
  <w15:docId w15:val="{BB8D9356-119B-4480-984E-1BF771A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426"/>
        <w:tab w:val="left" w:pos="709"/>
      </w:tabs>
      <w:spacing w:line="360" w:lineRule="atLeast"/>
    </w:pPr>
    <w:rPr>
      <w:rFonts w:ascii="Arial" w:hAnsi="Arial"/>
      <w:kern w:val="24"/>
      <w:sz w:val="22"/>
    </w:rPr>
  </w:style>
  <w:style w:type="paragraph" w:styleId="berschrift1">
    <w:name w:val="heading 1"/>
    <w:basedOn w:val="Standard"/>
    <w:next w:val="Standard"/>
    <w:qFormat/>
    <w:pPr>
      <w:ind w:left="567" w:hanging="567"/>
      <w:outlineLvl w:val="0"/>
    </w:pPr>
  </w:style>
  <w:style w:type="paragraph" w:styleId="berschrift2">
    <w:name w:val="heading 2"/>
    <w:basedOn w:val="Standard"/>
    <w:next w:val="Standard"/>
    <w:qFormat/>
    <w:pPr>
      <w:ind w:left="964" w:hanging="964"/>
      <w:outlineLvl w:val="1"/>
    </w:pPr>
  </w:style>
  <w:style w:type="paragraph" w:styleId="berschrift3">
    <w:name w:val="heading 3"/>
    <w:basedOn w:val="Standard"/>
    <w:next w:val="Standardeinzug"/>
    <w:qFormat/>
    <w:pPr>
      <w:ind w:left="354"/>
      <w:outlineLvl w:val="2"/>
    </w:pPr>
    <w:rPr>
      <w:rFonts w:ascii="Times New Roman" w:hAnsi="Times New Roman"/>
      <w:b/>
    </w:r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link w:val="FuzeileZchn"/>
    <w:uiPriority w:val="99"/>
    <w:pPr>
      <w:tabs>
        <w:tab w:val="clear" w:pos="426"/>
        <w:tab w:val="clear" w:pos="709"/>
        <w:tab w:val="center" w:pos="4819"/>
        <w:tab w:val="right" w:pos="9071"/>
      </w:tabs>
    </w:pPr>
  </w:style>
  <w:style w:type="paragraph" w:styleId="Kopfzeile">
    <w:name w:val="header"/>
    <w:basedOn w:val="Standard"/>
    <w:pPr>
      <w:tabs>
        <w:tab w:val="center" w:pos="4252"/>
        <w:tab w:val="right" w:pos="8504"/>
      </w:tabs>
      <w:jc w:val="center"/>
    </w:pPr>
    <w:rPr>
      <w:rFonts w:ascii="Courier" w:hAnsi="Courier"/>
      <w:sz w:val="24"/>
    </w:r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table" w:styleId="Tabellenraster">
    <w:name w:val="Table Grid"/>
    <w:basedOn w:val="NormaleTabelle"/>
    <w:uiPriority w:val="59"/>
    <w:rsid w:val="00FC7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6A3107"/>
    <w:rPr>
      <w:rFonts w:ascii="Arial" w:hAnsi="Arial"/>
      <w:kern w:val="24"/>
      <w:sz w:val="22"/>
    </w:rPr>
  </w:style>
  <w:style w:type="paragraph" w:customStyle="1" w:styleId="09Abstand">
    <w:name w:val="09_Abstand"/>
    <w:basedOn w:val="Standard"/>
    <w:rsid w:val="006A3107"/>
    <w:pPr>
      <w:tabs>
        <w:tab w:val="clear" w:pos="426"/>
        <w:tab w:val="clear" w:pos="709"/>
      </w:tabs>
      <w:spacing w:line="200" w:lineRule="exact"/>
    </w:pPr>
    <w:rPr>
      <w:rFonts w:ascii="Times New Roman" w:hAnsi="Times New Roman"/>
      <w:snapToGrid w:val="0"/>
      <w:color w:val="000000"/>
      <w:kern w:val="0"/>
      <w:sz w:val="20"/>
      <w:lang w:val="de-AT" w:eastAsia="de-AT"/>
    </w:rPr>
  </w:style>
  <w:style w:type="paragraph" w:customStyle="1" w:styleId="21NovAo1">
    <w:name w:val="21_NovAo1"/>
    <w:basedOn w:val="Standard"/>
    <w:next w:val="23SatznachNovao"/>
    <w:qFormat/>
    <w:rsid w:val="006A3107"/>
    <w:pPr>
      <w:keepNext/>
      <w:tabs>
        <w:tab w:val="clear" w:pos="426"/>
        <w:tab w:val="clear" w:pos="709"/>
      </w:tabs>
      <w:spacing w:before="160" w:line="220" w:lineRule="exact"/>
      <w:jc w:val="both"/>
      <w:outlineLvl w:val="2"/>
    </w:pPr>
    <w:rPr>
      <w:rFonts w:ascii="Times New Roman" w:hAnsi="Times New Roman"/>
      <w:i/>
      <w:snapToGrid w:val="0"/>
      <w:color w:val="000000"/>
      <w:kern w:val="0"/>
      <w:sz w:val="20"/>
      <w:lang w:val="de-AT" w:eastAsia="de-AT"/>
    </w:rPr>
  </w:style>
  <w:style w:type="paragraph" w:customStyle="1" w:styleId="23SatznachNovao">
    <w:name w:val="23_Satz_(nach_Novao)"/>
    <w:basedOn w:val="Standard"/>
    <w:next w:val="21NovAo1"/>
    <w:qFormat/>
    <w:rsid w:val="006A3107"/>
    <w:pPr>
      <w:tabs>
        <w:tab w:val="clear" w:pos="426"/>
        <w:tab w:val="clear" w:pos="709"/>
      </w:tabs>
      <w:spacing w:before="80" w:line="220" w:lineRule="exact"/>
      <w:jc w:val="both"/>
    </w:pPr>
    <w:rPr>
      <w:rFonts w:ascii="Times New Roman" w:hAnsi="Times New Roman"/>
      <w:snapToGrid w:val="0"/>
      <w:color w:val="000000"/>
      <w:kern w:val="0"/>
      <w:sz w:val="20"/>
      <w:lang w:val="de-AT" w:eastAsia="de-AT"/>
    </w:rPr>
  </w:style>
  <w:style w:type="paragraph" w:customStyle="1" w:styleId="61TabText">
    <w:name w:val="61_TabText"/>
    <w:basedOn w:val="Standard"/>
    <w:rsid w:val="006A3107"/>
    <w:pPr>
      <w:tabs>
        <w:tab w:val="clear" w:pos="426"/>
        <w:tab w:val="clear" w:pos="709"/>
      </w:tabs>
      <w:spacing w:line="220" w:lineRule="exact"/>
    </w:pPr>
    <w:rPr>
      <w:rFonts w:ascii="Times New Roman" w:hAnsi="Times New Roman"/>
      <w:snapToGrid w:val="0"/>
      <w:color w:val="000000"/>
      <w:kern w:val="0"/>
      <w:sz w:val="20"/>
      <w:lang w:val="de-AT" w:eastAsia="de-AT"/>
    </w:rPr>
  </w:style>
  <w:style w:type="paragraph" w:customStyle="1" w:styleId="61bTabTextZentriert">
    <w:name w:val="61b_TabTextZentriert"/>
    <w:basedOn w:val="61TabText"/>
    <w:rsid w:val="006A3107"/>
    <w:pPr>
      <w:jc w:val="center"/>
    </w:pPr>
  </w:style>
  <w:style w:type="paragraph" w:customStyle="1" w:styleId="62Kopfzeile">
    <w:name w:val="62_Kopfzeile"/>
    <w:basedOn w:val="Standard"/>
    <w:rsid w:val="006A3107"/>
    <w:pPr>
      <w:tabs>
        <w:tab w:val="clear" w:pos="426"/>
        <w:tab w:val="clear" w:pos="709"/>
        <w:tab w:val="center" w:pos="4253"/>
        <w:tab w:val="right" w:pos="8505"/>
      </w:tabs>
      <w:spacing w:before="80" w:line="220" w:lineRule="exact"/>
      <w:jc w:val="both"/>
    </w:pPr>
    <w:rPr>
      <w:rFonts w:ascii="Times New Roman" w:hAnsi="Times New Roman"/>
      <w:snapToGrid w:val="0"/>
      <w:color w:val="000000"/>
      <w:kern w:val="0"/>
      <w:sz w:val="20"/>
      <w:lang w:val="de-AT" w:eastAsia="de-AT"/>
    </w:rPr>
  </w:style>
  <w:style w:type="paragraph" w:customStyle="1" w:styleId="82ErlUeberschrL">
    <w:name w:val="82_ErlUeberschrL"/>
    <w:basedOn w:val="Standard"/>
    <w:next w:val="83ErlText"/>
    <w:rsid w:val="006A3107"/>
    <w:pPr>
      <w:keepNext/>
      <w:tabs>
        <w:tab w:val="clear" w:pos="426"/>
        <w:tab w:val="clear" w:pos="709"/>
      </w:tabs>
      <w:spacing w:before="80" w:line="220" w:lineRule="exact"/>
      <w:jc w:val="both"/>
      <w:outlineLvl w:val="1"/>
    </w:pPr>
    <w:rPr>
      <w:rFonts w:ascii="Times New Roman" w:hAnsi="Times New Roman"/>
      <w:b/>
      <w:snapToGrid w:val="0"/>
      <w:color w:val="000000"/>
      <w:kern w:val="0"/>
      <w:sz w:val="20"/>
      <w:lang w:val="de-AT" w:eastAsia="de-AT"/>
    </w:rPr>
  </w:style>
  <w:style w:type="paragraph" w:customStyle="1" w:styleId="83ErlText">
    <w:name w:val="83_ErlText"/>
    <w:basedOn w:val="Standard"/>
    <w:rsid w:val="006A3107"/>
    <w:pPr>
      <w:tabs>
        <w:tab w:val="clear" w:pos="426"/>
        <w:tab w:val="clear" w:pos="709"/>
      </w:tabs>
      <w:spacing w:before="80" w:line="220" w:lineRule="exact"/>
      <w:jc w:val="both"/>
    </w:pPr>
    <w:rPr>
      <w:rFonts w:ascii="Times New Roman" w:hAnsi="Times New Roman"/>
      <w:snapToGrid w:val="0"/>
      <w:color w:val="000000"/>
      <w:kern w:val="0"/>
      <w:sz w:val="20"/>
      <w:lang w:val="de-AT" w:eastAsia="de-AT"/>
    </w:rPr>
  </w:style>
  <w:style w:type="paragraph" w:customStyle="1" w:styleId="11Titel">
    <w:name w:val="11_Titel"/>
    <w:basedOn w:val="Standard"/>
    <w:next w:val="12PromKlEinlSatz"/>
    <w:rsid w:val="00FD4567"/>
    <w:pPr>
      <w:tabs>
        <w:tab w:val="clear" w:pos="426"/>
        <w:tab w:val="clear" w:pos="709"/>
      </w:tabs>
      <w:suppressAutoHyphens/>
      <w:spacing w:before="480" w:line="220" w:lineRule="exact"/>
      <w:jc w:val="both"/>
    </w:pPr>
    <w:rPr>
      <w:rFonts w:ascii="Times New Roman" w:hAnsi="Times New Roman"/>
      <w:b/>
      <w:snapToGrid w:val="0"/>
      <w:color w:val="000000"/>
      <w:kern w:val="0"/>
      <w:lang w:val="de-AT" w:eastAsia="de-AT"/>
    </w:rPr>
  </w:style>
  <w:style w:type="paragraph" w:customStyle="1" w:styleId="12PromKlEinlSatz">
    <w:name w:val="12_PromKl_EinlSatz"/>
    <w:basedOn w:val="Standard"/>
    <w:next w:val="Standard"/>
    <w:rsid w:val="00FD4567"/>
    <w:pPr>
      <w:keepNext/>
      <w:tabs>
        <w:tab w:val="clear" w:pos="426"/>
        <w:tab w:val="clear" w:pos="709"/>
      </w:tabs>
      <w:spacing w:before="160" w:line="220" w:lineRule="exact"/>
      <w:ind w:firstLine="397"/>
      <w:jc w:val="both"/>
    </w:pPr>
    <w:rPr>
      <w:rFonts w:ascii="Times New Roman" w:hAnsi="Times New Roman"/>
      <w:snapToGrid w:val="0"/>
      <w:color w:val="000000"/>
      <w:kern w:val="0"/>
      <w:sz w:val="20"/>
      <w:lang w:val="de-AT" w:eastAsia="de-AT"/>
    </w:rPr>
  </w:style>
  <w:style w:type="paragraph" w:customStyle="1" w:styleId="45UeberschrPara">
    <w:name w:val="45_UeberschrPara"/>
    <w:basedOn w:val="Standard"/>
    <w:next w:val="51Abs"/>
    <w:qFormat/>
    <w:rsid w:val="00FD4567"/>
    <w:pPr>
      <w:keepNext/>
      <w:tabs>
        <w:tab w:val="clear" w:pos="426"/>
        <w:tab w:val="clear" w:pos="709"/>
      </w:tabs>
      <w:spacing w:before="80" w:line="220" w:lineRule="exact"/>
      <w:jc w:val="center"/>
    </w:pPr>
    <w:rPr>
      <w:rFonts w:ascii="Times New Roman" w:hAnsi="Times New Roman"/>
      <w:b/>
      <w:snapToGrid w:val="0"/>
      <w:color w:val="000000"/>
      <w:kern w:val="0"/>
      <w:sz w:val="20"/>
      <w:lang w:val="de-AT" w:eastAsia="de-AT"/>
    </w:rPr>
  </w:style>
  <w:style w:type="paragraph" w:customStyle="1" w:styleId="51Abs">
    <w:name w:val="51_Abs"/>
    <w:basedOn w:val="Standard"/>
    <w:qFormat/>
    <w:rsid w:val="00FD4567"/>
    <w:pPr>
      <w:tabs>
        <w:tab w:val="clear" w:pos="426"/>
        <w:tab w:val="clear" w:pos="709"/>
      </w:tabs>
      <w:spacing w:before="80" w:line="220" w:lineRule="exact"/>
      <w:ind w:firstLine="397"/>
      <w:jc w:val="both"/>
    </w:pPr>
    <w:rPr>
      <w:rFonts w:ascii="Times New Roman" w:hAnsi="Times New Roman"/>
      <w:snapToGrid w:val="0"/>
      <w:color w:val="000000"/>
      <w:kern w:val="0"/>
      <w:sz w:val="20"/>
      <w:lang w:val="de-AT" w:eastAsia="de-AT"/>
    </w:rPr>
  </w:style>
  <w:style w:type="paragraph" w:styleId="Listenabsatz">
    <w:name w:val="List Paragraph"/>
    <w:basedOn w:val="Standard"/>
    <w:uiPriority w:val="34"/>
    <w:qFormat/>
    <w:rsid w:val="00102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C9FBD-293E-4630-8CBD-467A3467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1608</Words>
  <Characters>9750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Vorlage für Landtagskanzlei</vt:lpstr>
    </vt:vector>
  </TitlesOfParts>
  <Company>Land Salzburg</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Landtagskanzlei</dc:title>
  <dc:subject/>
  <dc:creator>Christopher Brunner</dc:creator>
  <cp:keywords/>
  <cp:lastModifiedBy>Bachler Hannah</cp:lastModifiedBy>
  <cp:revision>5</cp:revision>
  <cp:lastPrinted>2025-12-15T11:51:00Z</cp:lastPrinted>
  <dcterms:created xsi:type="dcterms:W3CDTF">2025-12-11T09:29:00Z</dcterms:created>
  <dcterms:modified xsi:type="dcterms:W3CDTF">2025-12-15T11:52:00Z</dcterms:modified>
</cp:coreProperties>
</file>